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11" w:rsidRDefault="00940B37" w:rsidP="00940B37">
      <w:pPr>
        <w:framePr w:w="3969" w:wrap="around" w:vAnchor="page" w:hAnchor="page" w:x="1191" w:y="511"/>
        <w:tabs>
          <w:tab w:val="left" w:pos="142"/>
        </w:tabs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2514600" cy="990600"/>
            <wp:effectExtent l="0" t="0" r="0" b="0"/>
            <wp:docPr id="3" name="Picture 3" descr="c:\Program Files (x86)\UM-mallar\Logo\sv stand rep\svsr_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 stand rep\svsr_6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081211" w:rsidTr="00D940D8">
        <w:tc>
          <w:tcPr>
            <w:tcW w:w="2268" w:type="dxa"/>
          </w:tcPr>
          <w:p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1" w:name="UDkoncept"/>
            <w:bookmarkEnd w:id="1"/>
          </w:p>
        </w:tc>
        <w:tc>
          <w:tcPr>
            <w:tcW w:w="3005" w:type="dxa"/>
          </w:tcPr>
          <w:p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2" w:name="UDsidan"/>
            <w:bookmarkEnd w:id="2"/>
          </w:p>
        </w:tc>
      </w:tr>
      <w:tr w:rsidR="00081211" w:rsidTr="00D940D8">
        <w:tc>
          <w:tcPr>
            <w:tcW w:w="2268" w:type="dxa"/>
          </w:tcPr>
          <w:p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3" w:name="UDdokname"/>
            <w:bookmarkEnd w:id="3"/>
          </w:p>
        </w:tc>
        <w:tc>
          <w:tcPr>
            <w:tcW w:w="3005" w:type="dxa"/>
          </w:tcPr>
          <w:p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4" w:name="UDnr"/>
            <w:bookmarkEnd w:id="4"/>
          </w:p>
        </w:tc>
      </w:tr>
      <w:tr w:rsidR="00081211" w:rsidTr="00D940D8">
        <w:tc>
          <w:tcPr>
            <w:tcW w:w="2268" w:type="dxa"/>
          </w:tcPr>
          <w:p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7"/>
        <w:gridCol w:w="4908"/>
      </w:tblGrid>
      <w:tr w:rsidR="00081211" w:rsidTr="00940B37">
        <w:tc>
          <w:tcPr>
            <w:tcW w:w="5157" w:type="dxa"/>
          </w:tcPr>
          <w:p w:rsidR="00081211" w:rsidRDefault="00940B37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  <w:bookmarkStart w:id="5" w:name="UDdepartement"/>
            <w:bookmarkEnd w:id="5"/>
            <w:r>
              <w:rPr>
                <w:rFonts w:ascii="Arial" w:hAnsi="Arial"/>
              </w:rPr>
              <w:t>Genève</w:t>
            </w:r>
          </w:p>
          <w:p w:rsidR="00081211" w:rsidRDefault="00081211" w:rsidP="00191A6D">
            <w:pPr>
              <w:pStyle w:val="Depnamn"/>
              <w:framePr w:wrap="notBeside" w:vAnchor="page" w:hAnchor="page" w:x="1441" w:y="2496"/>
              <w:rPr>
                <w:rFonts w:ascii="Arial" w:hAnsi="Arial"/>
              </w:rPr>
            </w:pPr>
            <w:bookmarkStart w:id="6" w:name="UDminister"/>
            <w:bookmarkStart w:id="7" w:name="UDStad"/>
            <w:bookmarkEnd w:id="6"/>
            <w:bookmarkEnd w:id="7"/>
          </w:p>
          <w:p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8" w:name="UDenhet"/>
            <w:bookmarkStart w:id="9" w:name="UDchefenhet"/>
            <w:bookmarkEnd w:id="8"/>
            <w:bookmarkEnd w:id="9"/>
          </w:p>
          <w:p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10" w:name="UDnamn"/>
            <w:bookmarkStart w:id="11" w:name="UDtelefon"/>
            <w:bookmarkEnd w:id="10"/>
            <w:bookmarkEnd w:id="11"/>
          </w:p>
          <w:p w:rsidR="00081211" w:rsidRDefault="00081211" w:rsidP="00191A6D">
            <w:pPr>
              <w:pStyle w:val="Namnenhet"/>
              <w:framePr w:hRule="auto" w:wrap="notBeside" w:vAnchor="page" w:x="1441" w:y="2496"/>
            </w:pPr>
          </w:p>
          <w:p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12" w:name="UDdelges"/>
            <w:bookmarkEnd w:id="12"/>
          </w:p>
          <w:p w:rsidR="00081211" w:rsidRDefault="00081211" w:rsidP="00191A6D">
            <w:pPr>
              <w:pStyle w:val="Depnamn"/>
              <w:framePr w:wrap="notBeside" w:vAnchor="page" w:hAnchor="page" w:x="1441" w:y="2496"/>
            </w:pPr>
            <w:bookmarkStart w:id="13" w:name="UDendruta"/>
            <w:bookmarkEnd w:id="13"/>
          </w:p>
        </w:tc>
        <w:tc>
          <w:tcPr>
            <w:tcW w:w="4908" w:type="dxa"/>
          </w:tcPr>
          <w:p w:rsidR="00081211" w:rsidRPr="00940B37" w:rsidRDefault="00081211" w:rsidP="00191A6D">
            <w:pPr>
              <w:pStyle w:val="Brdtext1"/>
              <w:framePr w:wrap="notBeside" w:vAnchor="page" w:hAnchor="page" w:x="1441" w:y="2496"/>
              <w:rPr>
                <w:rFonts w:ascii="OrigGarmnd BT" w:hAnsi="OrigGarmnd BT"/>
              </w:rPr>
            </w:pPr>
            <w:bookmarkStart w:id="14" w:name="UDmottagare"/>
            <w:bookmarkEnd w:id="14"/>
          </w:p>
          <w:p w:rsidR="00081211" w:rsidRDefault="00081211" w:rsidP="00191A6D">
            <w:pPr>
              <w:pStyle w:val="Brdtext1"/>
              <w:framePr w:wrap="notBeside" w:vAnchor="page" w:hAnchor="page" w:x="1441" w:y="2496"/>
            </w:pPr>
          </w:p>
        </w:tc>
      </w:tr>
    </w:tbl>
    <w:p w:rsidR="00081211" w:rsidRPr="00940B37" w:rsidRDefault="00940B37" w:rsidP="00940B37">
      <w:pPr>
        <w:pStyle w:val="UDrubrik"/>
        <w:pBdr>
          <w:bottom w:val="single" w:sz="6" w:space="1" w:color="auto"/>
        </w:pBdr>
        <w:rPr>
          <w:rFonts w:ascii="Arial" w:hAnsi="Arial"/>
          <w:lang w:val="en-US"/>
        </w:rPr>
      </w:pPr>
      <w:bookmarkStart w:id="15" w:name="UDfaxmottagare"/>
      <w:bookmarkStart w:id="16" w:name="UDrubrik"/>
      <w:bookmarkStart w:id="17" w:name="UDtext"/>
      <w:bookmarkStart w:id="18" w:name="UDArendemening"/>
      <w:bookmarkEnd w:id="15"/>
      <w:bookmarkEnd w:id="16"/>
      <w:bookmarkEnd w:id="17"/>
      <w:bookmarkEnd w:id="18"/>
      <w:r w:rsidRPr="00900ED3">
        <w:rPr>
          <w:rFonts w:ascii="Arial" w:hAnsi="Arial"/>
          <w:i/>
          <w:lang w:val="en-US"/>
        </w:rPr>
        <w:t>Good Humanit</w:t>
      </w:r>
      <w:r w:rsidR="000078D9" w:rsidRPr="00900ED3">
        <w:rPr>
          <w:rFonts w:ascii="Arial" w:hAnsi="Arial"/>
          <w:i/>
          <w:lang w:val="en-US"/>
        </w:rPr>
        <w:t xml:space="preserve">arian </w:t>
      </w:r>
      <w:proofErr w:type="spellStart"/>
      <w:r w:rsidR="000078D9" w:rsidRPr="00900ED3">
        <w:rPr>
          <w:rFonts w:ascii="Arial" w:hAnsi="Arial"/>
          <w:i/>
          <w:lang w:val="en-US"/>
        </w:rPr>
        <w:t>Donorship</w:t>
      </w:r>
      <w:proofErr w:type="spellEnd"/>
      <w:r w:rsidR="000078D9">
        <w:rPr>
          <w:rFonts w:ascii="Arial" w:hAnsi="Arial"/>
          <w:lang w:val="en-US"/>
        </w:rPr>
        <w:t xml:space="preserve"> (GHD) </w:t>
      </w:r>
      <w:r w:rsidR="009D78F1">
        <w:rPr>
          <w:rFonts w:ascii="Arial" w:hAnsi="Arial"/>
          <w:lang w:val="en-US"/>
        </w:rPr>
        <w:t xml:space="preserve">work plan </w:t>
      </w:r>
      <w:r w:rsidR="000078D9">
        <w:rPr>
          <w:rFonts w:ascii="Arial" w:hAnsi="Arial"/>
          <w:lang w:val="en-US"/>
        </w:rPr>
        <w:t>2016-18: c</w:t>
      </w:r>
      <w:r w:rsidRPr="00940B37">
        <w:rPr>
          <w:rFonts w:ascii="Arial" w:hAnsi="Arial"/>
          <w:lang w:val="en-US"/>
        </w:rPr>
        <w:t>oncept note for the work</w:t>
      </w:r>
      <w:r w:rsidR="00F56E4B">
        <w:rPr>
          <w:rFonts w:ascii="Arial" w:hAnsi="Arial"/>
          <w:lang w:val="en-US"/>
        </w:rPr>
        <w:t xml:space="preserve"> </w:t>
      </w:r>
      <w:r w:rsidRPr="00940B37">
        <w:rPr>
          <w:rFonts w:ascii="Arial" w:hAnsi="Arial"/>
          <w:lang w:val="en-US"/>
        </w:rPr>
        <w:t>stream on earmarking</w:t>
      </w:r>
    </w:p>
    <w:p w:rsidR="002D6E88" w:rsidRDefault="002D6E88" w:rsidP="00940B37">
      <w:pPr>
        <w:pStyle w:val="Brdtext1"/>
        <w:rPr>
          <w:lang w:val="en-US"/>
        </w:rPr>
      </w:pPr>
    </w:p>
    <w:p w:rsidR="002D6E88" w:rsidRPr="006A5AC6" w:rsidRDefault="004C6F97" w:rsidP="006A5AC6">
      <w:pPr>
        <w:pStyle w:val="Brdtext1"/>
        <w:spacing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</w:t>
      </w:r>
      <w:r w:rsidRPr="006A5AC6">
        <w:rPr>
          <w:rFonts w:ascii="Garamond" w:hAnsi="Garamond"/>
          <w:lang w:val="en-US"/>
        </w:rPr>
        <w:t xml:space="preserve">he </w:t>
      </w:r>
      <w:r w:rsidR="009D78F1">
        <w:rPr>
          <w:rFonts w:ascii="Garamond" w:hAnsi="Garamond"/>
          <w:lang w:val="en-US"/>
        </w:rPr>
        <w:t>need for</w:t>
      </w:r>
      <w:r w:rsidRPr="006A5AC6">
        <w:rPr>
          <w:rFonts w:ascii="Garamond" w:hAnsi="Garamond"/>
          <w:lang w:val="en-US"/>
        </w:rPr>
        <w:t xml:space="preserve"> flexible financing is often highlighted as key </w:t>
      </w:r>
      <w:r w:rsidR="009D78F1">
        <w:rPr>
          <w:rFonts w:ascii="Garamond" w:hAnsi="Garamond"/>
          <w:lang w:val="en-US"/>
        </w:rPr>
        <w:t>to achieving</w:t>
      </w:r>
      <w:r w:rsidRPr="006A5AC6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responsive </w:t>
      </w:r>
      <w:r w:rsidR="009D78F1">
        <w:rPr>
          <w:rFonts w:ascii="Garamond" w:hAnsi="Garamond"/>
          <w:lang w:val="en-US"/>
        </w:rPr>
        <w:t xml:space="preserve">and flexible </w:t>
      </w:r>
      <w:r>
        <w:rPr>
          <w:rFonts w:ascii="Garamond" w:hAnsi="Garamond"/>
          <w:lang w:val="en-US"/>
        </w:rPr>
        <w:t xml:space="preserve">humanitarian aid, including by GHD donors in their </w:t>
      </w:r>
      <w:r w:rsidRPr="00ED0C5A">
        <w:rPr>
          <w:rFonts w:ascii="Garamond" w:hAnsi="Garamond"/>
          <w:i/>
          <w:lang w:val="en-US"/>
        </w:rPr>
        <w:t xml:space="preserve">Principles and Good Practice of Humanitarian </w:t>
      </w:r>
      <w:proofErr w:type="spellStart"/>
      <w:r w:rsidRPr="00ED0C5A">
        <w:rPr>
          <w:rFonts w:ascii="Garamond" w:hAnsi="Garamond"/>
          <w:i/>
          <w:lang w:val="en-US"/>
        </w:rPr>
        <w:t>Donorship</w:t>
      </w:r>
      <w:proofErr w:type="spellEnd"/>
      <w:r>
        <w:rPr>
          <w:rFonts w:ascii="Garamond" w:hAnsi="Garamond"/>
          <w:lang w:val="en-US"/>
        </w:rPr>
        <w:t xml:space="preserve"> endorsed in Stockholm on 17 June 2003.</w:t>
      </w:r>
      <w:r>
        <w:rPr>
          <w:rStyle w:val="EndnoteReference"/>
          <w:rFonts w:ascii="Garamond" w:hAnsi="Garamond"/>
          <w:lang w:val="en-US"/>
        </w:rPr>
        <w:endnoteReference w:id="1"/>
      </w:r>
      <w:r>
        <w:rPr>
          <w:rFonts w:ascii="Garamond" w:hAnsi="Garamond"/>
          <w:lang w:val="en-US"/>
        </w:rPr>
        <w:t xml:space="preserve"> Despite this </w:t>
      </w:r>
      <w:r w:rsidR="00601342">
        <w:rPr>
          <w:rFonts w:ascii="Garamond" w:hAnsi="Garamond"/>
          <w:lang w:val="en-US"/>
        </w:rPr>
        <w:t xml:space="preserve">acknowledgement </w:t>
      </w:r>
      <w:r w:rsidR="009D78F1">
        <w:rPr>
          <w:rFonts w:ascii="Garamond" w:hAnsi="Garamond"/>
          <w:lang w:val="en-US"/>
        </w:rPr>
        <w:t>the</w:t>
      </w:r>
      <w:r>
        <w:rPr>
          <w:rFonts w:ascii="Garamond" w:hAnsi="Garamond"/>
          <w:lang w:val="en-US"/>
        </w:rPr>
        <w:t xml:space="preserve"> trend is rather towards increased levels of earmarking. </w:t>
      </w:r>
      <w:r w:rsidR="008C65F3">
        <w:rPr>
          <w:rFonts w:ascii="Garamond" w:hAnsi="Garamond"/>
          <w:lang w:val="en-US"/>
        </w:rPr>
        <w:t xml:space="preserve">Through </w:t>
      </w:r>
      <w:r w:rsidR="00C023DA">
        <w:rPr>
          <w:rFonts w:ascii="Garamond" w:hAnsi="Garamond"/>
          <w:lang w:val="en-US"/>
        </w:rPr>
        <w:t>the work of the GHD earmarking work stream</w:t>
      </w:r>
      <w:r w:rsidR="008C65F3">
        <w:rPr>
          <w:rFonts w:ascii="Garamond" w:hAnsi="Garamond"/>
          <w:lang w:val="en-US"/>
        </w:rPr>
        <w:t xml:space="preserve"> we hope </w:t>
      </w:r>
      <w:r>
        <w:rPr>
          <w:rFonts w:ascii="Garamond" w:hAnsi="Garamond"/>
          <w:lang w:val="en-US"/>
        </w:rPr>
        <w:t xml:space="preserve">to contribute to a better understanding of what donors would need </w:t>
      </w:r>
      <w:r w:rsidRPr="00C61B5F">
        <w:rPr>
          <w:rFonts w:ascii="Garamond" w:hAnsi="Garamond"/>
          <w:lang w:val="en-US"/>
        </w:rPr>
        <w:t>from agencies to earmark less</w:t>
      </w:r>
      <w:r w:rsidR="009D78F1" w:rsidRPr="00C61B5F">
        <w:rPr>
          <w:rFonts w:ascii="Garamond" w:hAnsi="Garamond"/>
          <w:lang w:val="en-US"/>
        </w:rPr>
        <w:t>,</w:t>
      </w:r>
      <w:r w:rsidR="009D78F1">
        <w:rPr>
          <w:rFonts w:ascii="Garamond" w:hAnsi="Garamond"/>
          <w:lang w:val="en-US"/>
        </w:rPr>
        <w:t xml:space="preserve"> and thereby to </w:t>
      </w:r>
      <w:r>
        <w:rPr>
          <w:rFonts w:ascii="Garamond" w:hAnsi="Garamond"/>
          <w:lang w:val="en-US"/>
        </w:rPr>
        <w:t xml:space="preserve">contribute to </w:t>
      </w:r>
      <w:r w:rsidR="009D78F1">
        <w:rPr>
          <w:rFonts w:ascii="Garamond" w:hAnsi="Garamond"/>
          <w:lang w:val="en-US"/>
        </w:rPr>
        <w:t xml:space="preserve">achieving the goal set out in the GHD work plan </w:t>
      </w:r>
      <w:r w:rsidR="00601342">
        <w:rPr>
          <w:rFonts w:ascii="Garamond" w:hAnsi="Garamond"/>
          <w:lang w:val="en-US"/>
        </w:rPr>
        <w:t xml:space="preserve">for 2016-2018 </w:t>
      </w:r>
      <w:r w:rsidR="009D78F1">
        <w:rPr>
          <w:rFonts w:ascii="Garamond" w:hAnsi="Garamond"/>
          <w:lang w:val="en-US"/>
        </w:rPr>
        <w:t>under Australia’s and Germany’s co-chairman</w:t>
      </w:r>
      <w:r w:rsidR="00601342">
        <w:rPr>
          <w:rFonts w:ascii="Garamond" w:hAnsi="Garamond"/>
          <w:lang w:val="en-US"/>
        </w:rPr>
        <w:t>ship</w:t>
      </w:r>
      <w:r w:rsidR="00D36AE0">
        <w:rPr>
          <w:rFonts w:ascii="Garamond" w:hAnsi="Garamond"/>
          <w:lang w:val="en-US"/>
        </w:rPr>
        <w:t xml:space="preserve"> (</w:t>
      </w:r>
      <w:r w:rsidR="009D78F1">
        <w:rPr>
          <w:rFonts w:ascii="Garamond" w:hAnsi="Garamond"/>
          <w:lang w:val="en-US"/>
        </w:rPr>
        <w:t xml:space="preserve">supporting </w:t>
      </w:r>
      <w:r w:rsidR="00F56E4B" w:rsidRPr="006A5AC6">
        <w:rPr>
          <w:rFonts w:ascii="Garamond" w:hAnsi="Garamond"/>
          <w:lang w:val="en-US"/>
        </w:rPr>
        <w:t xml:space="preserve">donors in implementing their World Humanitarian Summit commitments and GHD principles </w:t>
      </w:r>
      <w:r w:rsidR="009D78F1">
        <w:rPr>
          <w:rFonts w:ascii="Garamond" w:hAnsi="Garamond"/>
          <w:lang w:val="en-US"/>
        </w:rPr>
        <w:t>and operational best practices,</w:t>
      </w:r>
      <w:r w:rsidR="008C65F3">
        <w:rPr>
          <w:rFonts w:ascii="Garamond" w:hAnsi="Garamond"/>
          <w:lang w:val="en-US"/>
        </w:rPr>
        <w:t xml:space="preserve"> thereby </w:t>
      </w:r>
      <w:r w:rsidR="009D78F1">
        <w:rPr>
          <w:rFonts w:ascii="Garamond" w:hAnsi="Garamond"/>
          <w:lang w:val="en-US"/>
        </w:rPr>
        <w:t>contributing</w:t>
      </w:r>
      <w:r w:rsidR="008C65F3">
        <w:rPr>
          <w:rFonts w:ascii="Garamond" w:hAnsi="Garamond"/>
          <w:lang w:val="en-US"/>
        </w:rPr>
        <w:t xml:space="preserve"> to improving</w:t>
      </w:r>
      <w:r w:rsidR="00F56E4B" w:rsidRPr="006A5AC6">
        <w:rPr>
          <w:rFonts w:ascii="Garamond" w:hAnsi="Garamond"/>
          <w:lang w:val="en-US"/>
        </w:rPr>
        <w:t xml:space="preserve"> the quality and impact of humanitarian assistance</w:t>
      </w:r>
      <w:r w:rsidR="00D36AE0">
        <w:rPr>
          <w:rFonts w:ascii="Garamond" w:hAnsi="Garamond"/>
          <w:lang w:val="en-US"/>
        </w:rPr>
        <w:t>)</w:t>
      </w:r>
      <w:r w:rsidR="00601342">
        <w:rPr>
          <w:rFonts w:ascii="Garamond" w:hAnsi="Garamond"/>
          <w:lang w:val="en-US"/>
        </w:rPr>
        <w:t>.</w:t>
      </w:r>
      <w:r w:rsidR="00F56E4B" w:rsidRPr="006A5AC6">
        <w:rPr>
          <w:rFonts w:ascii="Garamond" w:hAnsi="Garamond"/>
          <w:lang w:val="en-US"/>
        </w:rPr>
        <w:t xml:space="preserve"> </w:t>
      </w:r>
      <w:bookmarkStart w:id="19" w:name="UDBilaga"/>
      <w:bookmarkEnd w:id="19"/>
    </w:p>
    <w:p w:rsidR="006A5AC6" w:rsidRDefault="006A5AC6" w:rsidP="006A5AC6">
      <w:pPr>
        <w:pStyle w:val="Brdtext1"/>
        <w:spacing w:line="240" w:lineRule="auto"/>
        <w:rPr>
          <w:rFonts w:ascii="Garamond" w:hAnsi="Garamond"/>
          <w:lang w:val="en-US"/>
        </w:rPr>
      </w:pPr>
    </w:p>
    <w:p w:rsidR="00296D41" w:rsidRPr="004C6F97" w:rsidRDefault="009D78F1" w:rsidP="006A5AC6">
      <w:pPr>
        <w:pStyle w:val="Brdtext1"/>
        <w:numPr>
          <w:ilvl w:val="0"/>
          <w:numId w:val="11"/>
        </w:numPr>
        <w:spacing w:line="240" w:lineRule="auto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Key issues to be addressed</w:t>
      </w:r>
    </w:p>
    <w:p w:rsidR="00903F2D" w:rsidRPr="006A5AC6" w:rsidRDefault="009D78F1" w:rsidP="006A5AC6">
      <w:pPr>
        <w:pStyle w:val="Brdtext1"/>
        <w:spacing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B</w:t>
      </w:r>
      <w:r w:rsidR="00900ED3">
        <w:rPr>
          <w:rFonts w:ascii="Garamond" w:hAnsi="Garamond"/>
          <w:lang w:val="en-US"/>
        </w:rPr>
        <w:t>eing</w:t>
      </w:r>
      <w:r w:rsidR="00F56E4B" w:rsidRPr="006A5AC6">
        <w:rPr>
          <w:rFonts w:ascii="Garamond" w:hAnsi="Garamond"/>
          <w:lang w:val="en-US"/>
        </w:rPr>
        <w:t xml:space="preserve"> accountable for prudent use of tax payers’ funds</w:t>
      </w:r>
      <w:r w:rsidR="00900ED3">
        <w:rPr>
          <w:rFonts w:ascii="Garamond" w:hAnsi="Garamond"/>
          <w:lang w:val="en-US"/>
        </w:rPr>
        <w:t>, donors</w:t>
      </w:r>
      <w:r w:rsidR="00F56E4B" w:rsidRPr="006A5AC6">
        <w:rPr>
          <w:rFonts w:ascii="Garamond" w:hAnsi="Garamond"/>
          <w:lang w:val="en-US"/>
        </w:rPr>
        <w:t xml:space="preserve"> often require a level of control and accountability which may be challenging to obtain through flexible funding. Another challenge is the relative lack of donor visibility and recognition for </w:t>
      </w:r>
      <w:proofErr w:type="spellStart"/>
      <w:r w:rsidR="00F56E4B" w:rsidRPr="006A5AC6">
        <w:rPr>
          <w:rFonts w:ascii="Garamond" w:hAnsi="Garamond"/>
          <w:lang w:val="en-US"/>
        </w:rPr>
        <w:t>unearmarked</w:t>
      </w:r>
      <w:proofErr w:type="spellEnd"/>
      <w:r w:rsidR="00F56E4B" w:rsidRPr="006A5AC6">
        <w:rPr>
          <w:rFonts w:ascii="Garamond" w:hAnsi="Garamond"/>
          <w:lang w:val="en-US"/>
        </w:rPr>
        <w:t>, core contributions.</w:t>
      </w:r>
      <w:r>
        <w:rPr>
          <w:rFonts w:ascii="Garamond" w:hAnsi="Garamond"/>
          <w:lang w:val="en-US"/>
        </w:rPr>
        <w:t xml:space="preserve"> </w:t>
      </w:r>
      <w:r w:rsidR="00C023DA">
        <w:rPr>
          <w:rFonts w:ascii="Garamond" w:hAnsi="Garamond"/>
          <w:lang w:val="en-US"/>
        </w:rPr>
        <w:t xml:space="preserve">As an initial step, we </w:t>
      </w:r>
      <w:r w:rsidR="009F7EF4">
        <w:rPr>
          <w:rFonts w:ascii="Garamond" w:hAnsi="Garamond"/>
          <w:lang w:val="en-US"/>
        </w:rPr>
        <w:t xml:space="preserve">therefore </w:t>
      </w:r>
      <w:r w:rsidR="00E72D2A">
        <w:rPr>
          <w:rFonts w:ascii="Garamond" w:hAnsi="Garamond"/>
          <w:lang w:val="en-US"/>
        </w:rPr>
        <w:t xml:space="preserve">wished </w:t>
      </w:r>
      <w:r w:rsidR="009F7EF4">
        <w:rPr>
          <w:rFonts w:ascii="Garamond" w:hAnsi="Garamond"/>
          <w:lang w:val="en-US"/>
        </w:rPr>
        <w:t>seek to</w:t>
      </w:r>
      <w:r w:rsidR="00903F2D" w:rsidRPr="006A5AC6">
        <w:rPr>
          <w:rFonts w:ascii="Garamond" w:hAnsi="Garamond"/>
          <w:lang w:val="en-US"/>
        </w:rPr>
        <w:t xml:space="preserve"> collect information from GHD donors on what agency actions/policies would entice donors to increase/start providing core, </w:t>
      </w:r>
      <w:r w:rsidR="00C51807" w:rsidRPr="00C61B5F">
        <w:rPr>
          <w:rFonts w:ascii="Garamond" w:hAnsi="Garamond"/>
          <w:lang w:val="en-US"/>
        </w:rPr>
        <w:t xml:space="preserve">or less </w:t>
      </w:r>
      <w:r w:rsidR="00903F2D" w:rsidRPr="00C61B5F">
        <w:rPr>
          <w:rFonts w:ascii="Garamond" w:hAnsi="Garamond"/>
          <w:lang w:val="en-US"/>
        </w:rPr>
        <w:t>earmarked contributions,</w:t>
      </w:r>
      <w:r w:rsidR="00903F2D" w:rsidRPr="006A5AC6">
        <w:rPr>
          <w:rFonts w:ascii="Garamond" w:hAnsi="Garamond"/>
          <w:lang w:val="en-US"/>
        </w:rPr>
        <w:t xml:space="preserve"> in terms of the following:</w:t>
      </w:r>
    </w:p>
    <w:p w:rsidR="00903F2D" w:rsidRPr="006A5AC6" w:rsidRDefault="00903F2D" w:rsidP="006A5AC6">
      <w:pPr>
        <w:pStyle w:val="Brdtext1"/>
        <w:numPr>
          <w:ilvl w:val="0"/>
          <w:numId w:val="9"/>
        </w:numPr>
        <w:spacing w:line="240" w:lineRule="auto"/>
        <w:rPr>
          <w:rFonts w:ascii="Garamond" w:hAnsi="Garamond"/>
          <w:lang w:val="en-US"/>
        </w:rPr>
      </w:pPr>
      <w:r w:rsidRPr="006A5AC6">
        <w:rPr>
          <w:rFonts w:ascii="Garamond" w:hAnsi="Garamond"/>
          <w:lang w:val="en-US"/>
        </w:rPr>
        <w:t>Transparency in the methodology used to allocate core resources</w:t>
      </w:r>
      <w:r w:rsidR="00BA4908">
        <w:rPr>
          <w:rFonts w:ascii="Garamond" w:hAnsi="Garamond"/>
          <w:lang w:val="en-US"/>
        </w:rPr>
        <w:t>;</w:t>
      </w:r>
    </w:p>
    <w:p w:rsidR="00903F2D" w:rsidRPr="006A5AC6" w:rsidRDefault="00903F2D" w:rsidP="006A5AC6">
      <w:pPr>
        <w:pStyle w:val="Brdtext1"/>
        <w:numPr>
          <w:ilvl w:val="0"/>
          <w:numId w:val="9"/>
        </w:numPr>
        <w:spacing w:line="240" w:lineRule="auto"/>
        <w:rPr>
          <w:rFonts w:ascii="Garamond" w:hAnsi="Garamond"/>
          <w:lang w:val="en-US"/>
        </w:rPr>
      </w:pPr>
      <w:r w:rsidRPr="006A5AC6">
        <w:rPr>
          <w:rFonts w:ascii="Garamond" w:hAnsi="Garamond"/>
          <w:lang w:val="en-US"/>
        </w:rPr>
        <w:t>Reporting requirements</w:t>
      </w:r>
      <w:r w:rsidR="00BA4908">
        <w:rPr>
          <w:rFonts w:ascii="Garamond" w:hAnsi="Garamond"/>
          <w:lang w:val="en-US"/>
        </w:rPr>
        <w:t>;</w:t>
      </w:r>
    </w:p>
    <w:p w:rsidR="00903F2D" w:rsidRPr="006A5AC6" w:rsidRDefault="00BA4908" w:rsidP="006A5AC6">
      <w:pPr>
        <w:pStyle w:val="Brdtext1"/>
        <w:numPr>
          <w:ilvl w:val="0"/>
          <w:numId w:val="9"/>
        </w:numPr>
        <w:spacing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Visibility requirements;</w:t>
      </w:r>
    </w:p>
    <w:p w:rsidR="00C51807" w:rsidRPr="006A5AC6" w:rsidRDefault="00C51807" w:rsidP="006A5AC6">
      <w:pPr>
        <w:pStyle w:val="Brdtext1"/>
        <w:numPr>
          <w:ilvl w:val="0"/>
          <w:numId w:val="9"/>
        </w:numPr>
        <w:spacing w:line="240" w:lineRule="auto"/>
        <w:rPr>
          <w:rFonts w:ascii="Garamond" w:hAnsi="Garamond"/>
          <w:lang w:val="en-US"/>
        </w:rPr>
      </w:pPr>
      <w:r w:rsidRPr="006A5AC6">
        <w:rPr>
          <w:rFonts w:ascii="Garamond" w:hAnsi="Garamond"/>
          <w:lang w:val="en-US"/>
        </w:rPr>
        <w:t xml:space="preserve">Any other </w:t>
      </w:r>
      <w:r w:rsidR="00BD7344">
        <w:rPr>
          <w:rFonts w:ascii="Garamond" w:hAnsi="Garamond"/>
          <w:lang w:val="en-US"/>
        </w:rPr>
        <w:t xml:space="preserve">key </w:t>
      </w:r>
      <w:r w:rsidRPr="006A5AC6">
        <w:rPr>
          <w:rFonts w:ascii="Garamond" w:hAnsi="Garamond"/>
          <w:lang w:val="en-US"/>
        </w:rPr>
        <w:t>aspects participants wish to highlight.</w:t>
      </w:r>
    </w:p>
    <w:p w:rsidR="00C51807" w:rsidRPr="006A5AC6" w:rsidRDefault="00C51807" w:rsidP="006A5AC6">
      <w:pPr>
        <w:pStyle w:val="Brdtext1"/>
        <w:spacing w:line="240" w:lineRule="auto"/>
        <w:rPr>
          <w:rFonts w:ascii="Garamond" w:hAnsi="Garamond"/>
          <w:lang w:val="en-US"/>
        </w:rPr>
      </w:pPr>
    </w:p>
    <w:p w:rsidR="00C51807" w:rsidRPr="006A5AC6" w:rsidRDefault="00C51807" w:rsidP="006A5AC6">
      <w:pPr>
        <w:pStyle w:val="Brdtext1"/>
        <w:spacing w:line="240" w:lineRule="auto"/>
        <w:rPr>
          <w:rFonts w:ascii="Garamond" w:hAnsi="Garamond"/>
          <w:lang w:val="en-US"/>
        </w:rPr>
      </w:pPr>
      <w:r w:rsidRPr="006A5AC6">
        <w:rPr>
          <w:rFonts w:ascii="Garamond" w:hAnsi="Garamond"/>
          <w:lang w:val="en-US"/>
        </w:rPr>
        <w:t xml:space="preserve">We </w:t>
      </w:r>
      <w:r w:rsidR="00BA4908">
        <w:rPr>
          <w:rFonts w:ascii="Garamond" w:hAnsi="Garamond"/>
          <w:lang w:val="en-US"/>
        </w:rPr>
        <w:t xml:space="preserve">also </w:t>
      </w:r>
      <w:r w:rsidR="00E72D2A">
        <w:rPr>
          <w:rFonts w:ascii="Garamond" w:hAnsi="Garamond"/>
          <w:lang w:val="en-US"/>
        </w:rPr>
        <w:t xml:space="preserve">wished to </w:t>
      </w:r>
      <w:r w:rsidR="00BA4908">
        <w:rPr>
          <w:rFonts w:ascii="Garamond" w:hAnsi="Garamond"/>
          <w:lang w:val="en-US"/>
        </w:rPr>
        <w:t>seek</w:t>
      </w:r>
      <w:r w:rsidRPr="006A5AC6">
        <w:rPr>
          <w:rFonts w:ascii="Garamond" w:hAnsi="Garamond"/>
          <w:lang w:val="en-US"/>
        </w:rPr>
        <w:t xml:space="preserve"> information from donors whether they have a method to provide a degree of flexibility in contributions to certain partner organizations (if so, how does it work; if not, would you consider adopting one). </w:t>
      </w:r>
    </w:p>
    <w:p w:rsidR="006A5AC6" w:rsidRDefault="006A5AC6" w:rsidP="006A5AC6">
      <w:pPr>
        <w:pStyle w:val="Brdtext1"/>
        <w:spacing w:line="240" w:lineRule="auto"/>
        <w:rPr>
          <w:rFonts w:ascii="Garamond" w:hAnsi="Garamond"/>
          <w:lang w:val="en-US"/>
        </w:rPr>
      </w:pPr>
    </w:p>
    <w:p w:rsidR="003D0AA5" w:rsidRPr="006A5AC6" w:rsidRDefault="006A5AC6" w:rsidP="006A5AC6">
      <w:pPr>
        <w:pStyle w:val="Brdtext1"/>
        <w:numPr>
          <w:ilvl w:val="0"/>
          <w:numId w:val="11"/>
        </w:numPr>
        <w:spacing w:line="240" w:lineRule="auto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Evidence available and/</w:t>
      </w:r>
      <w:r w:rsidR="003D0AA5" w:rsidRPr="006A5AC6">
        <w:rPr>
          <w:rFonts w:ascii="Garamond" w:hAnsi="Garamond"/>
          <w:b/>
          <w:lang w:val="en-US"/>
        </w:rPr>
        <w:t>or needed to support action</w:t>
      </w:r>
    </w:p>
    <w:p w:rsidR="003D0AA5" w:rsidRPr="006A5AC6" w:rsidRDefault="00937FA9" w:rsidP="006A5AC6">
      <w:pPr>
        <w:pStyle w:val="Brdtext1"/>
        <w:spacing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 similar process is</w:t>
      </w:r>
      <w:r w:rsidR="009F7EF4">
        <w:rPr>
          <w:rFonts w:ascii="Garamond" w:hAnsi="Garamond"/>
          <w:lang w:val="en-US"/>
        </w:rPr>
        <w:t xml:space="preserve"> </w:t>
      </w:r>
      <w:r w:rsidR="00F00085">
        <w:rPr>
          <w:rFonts w:ascii="Garamond" w:hAnsi="Garamond"/>
          <w:lang w:val="en-US"/>
        </w:rPr>
        <w:t xml:space="preserve">ongoing </w:t>
      </w:r>
      <w:r w:rsidR="009F7EF4">
        <w:rPr>
          <w:rFonts w:ascii="Garamond" w:hAnsi="Garamond"/>
          <w:lang w:val="en-US"/>
        </w:rPr>
        <w:t xml:space="preserve">within the Grand Bargains process, where </w:t>
      </w:r>
      <w:r w:rsidR="003269F0" w:rsidRPr="006A5AC6">
        <w:rPr>
          <w:rFonts w:ascii="Garamond" w:hAnsi="Garamond"/>
          <w:lang w:val="en-US"/>
        </w:rPr>
        <w:t xml:space="preserve">Sweden is co-leading the work stream on less earmarking </w:t>
      </w:r>
      <w:r w:rsidR="009F7EF4">
        <w:rPr>
          <w:rFonts w:ascii="Garamond" w:hAnsi="Garamond"/>
          <w:lang w:val="en-US"/>
        </w:rPr>
        <w:t>together with the ICRC</w:t>
      </w:r>
      <w:r w:rsidR="00C51807" w:rsidRPr="006A5AC6">
        <w:rPr>
          <w:rFonts w:ascii="Garamond" w:hAnsi="Garamond"/>
          <w:lang w:val="en-US"/>
        </w:rPr>
        <w:t xml:space="preserve">. </w:t>
      </w:r>
      <w:r w:rsidR="00E1510A">
        <w:rPr>
          <w:rFonts w:ascii="Garamond" w:hAnsi="Garamond"/>
          <w:lang w:val="en-US"/>
        </w:rPr>
        <w:t xml:space="preserve">Whereas Sweden is surveying donors, ICRC is undertaking a similar </w:t>
      </w:r>
      <w:r w:rsidR="00E1510A">
        <w:rPr>
          <w:rFonts w:ascii="Garamond" w:hAnsi="Garamond"/>
          <w:lang w:val="en-US"/>
        </w:rPr>
        <w:lastRenderedPageBreak/>
        <w:t xml:space="preserve">activity </w:t>
      </w:r>
      <w:r w:rsidR="00601342">
        <w:rPr>
          <w:rFonts w:ascii="Garamond" w:hAnsi="Garamond"/>
          <w:lang w:val="en-US"/>
        </w:rPr>
        <w:t>with the agencies</w:t>
      </w:r>
      <w:r w:rsidR="00E1510A">
        <w:rPr>
          <w:rFonts w:ascii="Garamond" w:hAnsi="Garamond"/>
          <w:lang w:val="en-US"/>
        </w:rPr>
        <w:t xml:space="preserve">. </w:t>
      </w:r>
      <w:r w:rsidR="00C51807" w:rsidRPr="006A5AC6">
        <w:rPr>
          <w:rFonts w:ascii="Garamond" w:hAnsi="Garamond"/>
          <w:lang w:val="en-US"/>
        </w:rPr>
        <w:t xml:space="preserve">The combined inputs will be used as a basis for discussions on how to concretely move forward on the Grand Bargain commitments on flexible financing. </w:t>
      </w:r>
    </w:p>
    <w:p w:rsidR="00F56E4B" w:rsidRPr="006A5AC6" w:rsidRDefault="00F56E4B" w:rsidP="006A5AC6">
      <w:pPr>
        <w:pStyle w:val="Brdtext1"/>
        <w:spacing w:line="240" w:lineRule="auto"/>
        <w:rPr>
          <w:rFonts w:ascii="Garamond" w:hAnsi="Garamond"/>
          <w:lang w:val="en-US"/>
        </w:rPr>
      </w:pPr>
    </w:p>
    <w:p w:rsidR="003D0AA5" w:rsidRPr="006A5AC6" w:rsidRDefault="003D0AA5" w:rsidP="00304BFA">
      <w:pPr>
        <w:pStyle w:val="Brdtext1"/>
        <w:numPr>
          <w:ilvl w:val="0"/>
          <w:numId w:val="11"/>
        </w:numPr>
        <w:spacing w:line="240" w:lineRule="auto"/>
        <w:rPr>
          <w:rFonts w:ascii="Garamond" w:hAnsi="Garamond"/>
          <w:b/>
          <w:lang w:val="en-US"/>
        </w:rPr>
      </w:pPr>
      <w:r w:rsidRPr="006A5AC6">
        <w:rPr>
          <w:rFonts w:ascii="Garamond" w:hAnsi="Garamond"/>
          <w:b/>
          <w:lang w:val="en-US"/>
        </w:rPr>
        <w:t>Aimed achievement</w:t>
      </w:r>
      <w:r w:rsidR="00C92CDA">
        <w:rPr>
          <w:rFonts w:ascii="Garamond" w:hAnsi="Garamond"/>
          <w:b/>
          <w:lang w:val="en-US"/>
        </w:rPr>
        <w:t>s</w:t>
      </w:r>
      <w:r w:rsidR="00601342">
        <w:rPr>
          <w:rFonts w:ascii="Garamond" w:hAnsi="Garamond"/>
          <w:b/>
          <w:lang w:val="en-US"/>
        </w:rPr>
        <w:t xml:space="preserve"> by GHD High Level Meetings</w:t>
      </w:r>
      <w:r w:rsidRPr="006A5AC6">
        <w:rPr>
          <w:rFonts w:ascii="Garamond" w:hAnsi="Garamond"/>
          <w:b/>
          <w:lang w:val="en-US"/>
        </w:rPr>
        <w:t xml:space="preserve"> in June 2017 and </w:t>
      </w:r>
      <w:r w:rsidR="00601342">
        <w:rPr>
          <w:rFonts w:ascii="Garamond" w:hAnsi="Garamond"/>
          <w:b/>
          <w:lang w:val="en-US"/>
        </w:rPr>
        <w:t>2018</w:t>
      </w:r>
    </w:p>
    <w:p w:rsidR="005F346E" w:rsidRPr="006A5AC6" w:rsidRDefault="009F7EF4" w:rsidP="005F346E">
      <w:pPr>
        <w:pStyle w:val="Brdtext1"/>
        <w:spacing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As the recognition of the need for flexible funding is a shared </w:t>
      </w:r>
      <w:r w:rsidR="008E53B5">
        <w:rPr>
          <w:rFonts w:ascii="Garamond" w:hAnsi="Garamond"/>
          <w:lang w:val="en-US"/>
        </w:rPr>
        <w:t>principle</w:t>
      </w:r>
      <w:r>
        <w:rPr>
          <w:rFonts w:ascii="Garamond" w:hAnsi="Garamond"/>
          <w:lang w:val="en-US"/>
        </w:rPr>
        <w:t xml:space="preserve"> for both GHD and Grand Bargain donors, we propose to </w:t>
      </w:r>
      <w:r w:rsidR="005F346E">
        <w:rPr>
          <w:rFonts w:ascii="Garamond" w:hAnsi="Garamond"/>
          <w:lang w:val="en-US"/>
        </w:rPr>
        <w:t xml:space="preserve">present </w:t>
      </w:r>
      <w:r>
        <w:rPr>
          <w:rFonts w:ascii="Garamond" w:hAnsi="Garamond"/>
          <w:lang w:val="en-US"/>
        </w:rPr>
        <w:t xml:space="preserve">the work on less earmarking </w:t>
      </w:r>
      <w:r w:rsidR="008E53B5">
        <w:rPr>
          <w:rFonts w:ascii="Garamond" w:hAnsi="Garamond"/>
          <w:lang w:val="en-US"/>
        </w:rPr>
        <w:t xml:space="preserve">carried out </w:t>
      </w:r>
      <w:r>
        <w:rPr>
          <w:rFonts w:ascii="Garamond" w:hAnsi="Garamond"/>
          <w:lang w:val="en-US"/>
        </w:rPr>
        <w:t xml:space="preserve">in the Grand Bargain process </w:t>
      </w:r>
      <w:r w:rsidR="005F346E">
        <w:rPr>
          <w:rFonts w:ascii="Garamond" w:hAnsi="Garamond"/>
          <w:lang w:val="en-US"/>
        </w:rPr>
        <w:t xml:space="preserve">to the wider group of </w:t>
      </w:r>
      <w:r>
        <w:rPr>
          <w:rFonts w:ascii="Garamond" w:hAnsi="Garamond"/>
          <w:lang w:val="en-US"/>
        </w:rPr>
        <w:t>G</w:t>
      </w:r>
      <w:r w:rsidR="005F346E">
        <w:rPr>
          <w:rFonts w:ascii="Garamond" w:hAnsi="Garamond"/>
          <w:lang w:val="en-US"/>
        </w:rPr>
        <w:t>HD donors. By including</w:t>
      </w:r>
      <w:r w:rsidR="005F346E" w:rsidRPr="006A5AC6">
        <w:rPr>
          <w:rFonts w:ascii="Garamond" w:hAnsi="Garamond"/>
          <w:lang w:val="en-US"/>
        </w:rPr>
        <w:t xml:space="preserve"> more donors</w:t>
      </w:r>
      <w:r w:rsidR="008E53B5">
        <w:rPr>
          <w:rFonts w:ascii="Garamond" w:hAnsi="Garamond"/>
          <w:lang w:val="en-US"/>
        </w:rPr>
        <w:t xml:space="preserve"> in the discussion</w:t>
      </w:r>
      <w:r w:rsidR="005F346E" w:rsidRPr="006A5AC6">
        <w:rPr>
          <w:rFonts w:ascii="Garamond" w:hAnsi="Garamond"/>
          <w:lang w:val="en-US"/>
        </w:rPr>
        <w:t xml:space="preserve">, </w:t>
      </w:r>
      <w:r w:rsidR="008E53B5">
        <w:rPr>
          <w:rFonts w:ascii="Garamond" w:hAnsi="Garamond"/>
          <w:lang w:val="en-US"/>
        </w:rPr>
        <w:t>we hope to</w:t>
      </w:r>
      <w:r w:rsidR="005F346E" w:rsidRPr="006A5AC6">
        <w:rPr>
          <w:rFonts w:ascii="Garamond" w:hAnsi="Garamond"/>
          <w:lang w:val="en-US"/>
        </w:rPr>
        <w:t xml:space="preserve"> </w:t>
      </w:r>
      <w:r w:rsidR="008E53B5">
        <w:rPr>
          <w:rFonts w:ascii="Garamond" w:hAnsi="Garamond"/>
          <w:lang w:val="en-US"/>
        </w:rPr>
        <w:t xml:space="preserve">further </w:t>
      </w:r>
      <w:r w:rsidR="005F346E">
        <w:rPr>
          <w:rFonts w:ascii="Garamond" w:hAnsi="Garamond"/>
          <w:lang w:val="en-US"/>
        </w:rPr>
        <w:t xml:space="preserve">improve </w:t>
      </w:r>
      <w:r w:rsidR="005F346E" w:rsidRPr="006A5AC6">
        <w:rPr>
          <w:rFonts w:ascii="Garamond" w:hAnsi="Garamond"/>
          <w:lang w:val="en-US"/>
        </w:rPr>
        <w:t xml:space="preserve">the </w:t>
      </w:r>
      <w:r w:rsidR="008E53B5" w:rsidRPr="00C61B5F">
        <w:rPr>
          <w:rFonts w:ascii="Garamond" w:hAnsi="Garamond"/>
          <w:lang w:val="en-US"/>
        </w:rPr>
        <w:t xml:space="preserve">knowledge base about what steps agencies need to take in order to </w:t>
      </w:r>
      <w:r w:rsidR="003C3165">
        <w:rPr>
          <w:rFonts w:ascii="Garamond" w:hAnsi="Garamond"/>
          <w:lang w:val="en-US"/>
        </w:rPr>
        <w:t>facilitate for</w:t>
      </w:r>
      <w:r w:rsidR="008E53B5" w:rsidRPr="00C61B5F">
        <w:rPr>
          <w:rFonts w:ascii="Garamond" w:hAnsi="Garamond"/>
          <w:lang w:val="en-US"/>
        </w:rPr>
        <w:t xml:space="preserve"> donor</w:t>
      </w:r>
      <w:r w:rsidR="003C3165">
        <w:rPr>
          <w:rFonts w:ascii="Garamond" w:hAnsi="Garamond"/>
          <w:lang w:val="en-US"/>
        </w:rPr>
        <w:t>s</w:t>
      </w:r>
      <w:r w:rsidR="008E53B5" w:rsidRPr="00C61B5F">
        <w:rPr>
          <w:rFonts w:ascii="Garamond" w:hAnsi="Garamond"/>
          <w:lang w:val="en-US"/>
        </w:rPr>
        <w:t xml:space="preserve"> to earmark less.</w:t>
      </w:r>
    </w:p>
    <w:p w:rsidR="005F346E" w:rsidRDefault="005F346E" w:rsidP="005F346E">
      <w:pPr>
        <w:pStyle w:val="Brdtext1"/>
        <w:spacing w:line="240" w:lineRule="auto"/>
        <w:rPr>
          <w:rFonts w:ascii="Garamond" w:hAnsi="Garamond"/>
          <w:lang w:val="en-US"/>
        </w:rPr>
      </w:pPr>
    </w:p>
    <w:p w:rsidR="00A719BC" w:rsidRDefault="00C023DA" w:rsidP="002410C5">
      <w:pPr>
        <w:pStyle w:val="Brdtext1"/>
        <w:spacing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</w:t>
      </w:r>
      <w:r w:rsidR="00601342">
        <w:rPr>
          <w:rFonts w:ascii="Garamond" w:hAnsi="Garamond"/>
          <w:lang w:val="en-US"/>
        </w:rPr>
        <w:t xml:space="preserve">ll GHD members </w:t>
      </w:r>
      <w:r w:rsidR="0092607F">
        <w:rPr>
          <w:rFonts w:ascii="Garamond" w:hAnsi="Garamond"/>
          <w:lang w:val="en-US"/>
        </w:rPr>
        <w:t>have</w:t>
      </w:r>
      <w:r w:rsidR="00601342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therefore </w:t>
      </w:r>
      <w:r w:rsidR="00601342">
        <w:rPr>
          <w:rFonts w:ascii="Garamond" w:hAnsi="Garamond"/>
          <w:lang w:val="en-US"/>
        </w:rPr>
        <w:t>be</w:t>
      </w:r>
      <w:r w:rsidR="0092607F">
        <w:rPr>
          <w:rFonts w:ascii="Garamond" w:hAnsi="Garamond"/>
          <w:lang w:val="en-US"/>
        </w:rPr>
        <w:t>en</w:t>
      </w:r>
      <w:r w:rsidR="00601342">
        <w:rPr>
          <w:rFonts w:ascii="Garamond" w:hAnsi="Garamond"/>
          <w:lang w:val="en-US"/>
        </w:rPr>
        <w:t xml:space="preserve"> invited to </w:t>
      </w:r>
      <w:r w:rsidR="00591811">
        <w:rPr>
          <w:rFonts w:ascii="Garamond" w:hAnsi="Garamond"/>
          <w:lang w:val="en-US"/>
        </w:rPr>
        <w:t xml:space="preserve">participate and </w:t>
      </w:r>
      <w:r w:rsidR="00601342">
        <w:rPr>
          <w:rFonts w:ascii="Garamond" w:hAnsi="Garamond"/>
          <w:lang w:val="en-US"/>
        </w:rPr>
        <w:t>submit their replies</w:t>
      </w:r>
      <w:r>
        <w:rPr>
          <w:rFonts w:ascii="Garamond" w:hAnsi="Garamond"/>
          <w:lang w:val="en-US"/>
        </w:rPr>
        <w:t xml:space="preserve"> to the questionnaire mentioned above</w:t>
      </w:r>
      <w:r w:rsidR="009F7EF4" w:rsidRPr="00C61B5F">
        <w:rPr>
          <w:rFonts w:ascii="Garamond" w:hAnsi="Garamond"/>
          <w:lang w:val="en-US"/>
        </w:rPr>
        <w:t>.</w:t>
      </w:r>
      <w:r w:rsidR="005F346E" w:rsidRPr="00C61B5F">
        <w:rPr>
          <w:rFonts w:ascii="Garamond" w:hAnsi="Garamond"/>
          <w:lang w:val="en-US"/>
        </w:rPr>
        <w:t xml:space="preserve"> </w:t>
      </w:r>
      <w:r w:rsidR="00A719BC">
        <w:rPr>
          <w:rFonts w:ascii="Garamond" w:hAnsi="Garamond"/>
          <w:lang w:val="en-US"/>
        </w:rPr>
        <w:t xml:space="preserve">For GHD members’ reference, a couple of background papers </w:t>
      </w:r>
      <w:r w:rsidR="0092607F">
        <w:rPr>
          <w:rFonts w:ascii="Garamond" w:hAnsi="Garamond"/>
          <w:lang w:val="en-US"/>
        </w:rPr>
        <w:t>were</w:t>
      </w:r>
      <w:r w:rsidR="00A719BC">
        <w:rPr>
          <w:rFonts w:ascii="Garamond" w:hAnsi="Garamond"/>
          <w:lang w:val="en-US"/>
        </w:rPr>
        <w:t xml:space="preserve"> circulated along with the questionnaire (a non-paper on the value of flexibility in humanitarian financing as well as a</w:t>
      </w:r>
      <w:r w:rsidR="00A719BC" w:rsidRPr="006A5AC6">
        <w:rPr>
          <w:rFonts w:ascii="Garamond" w:hAnsi="Garamond"/>
          <w:lang w:val="en-US"/>
        </w:rPr>
        <w:t xml:space="preserve"> summary of the method used by the </w:t>
      </w:r>
      <w:r w:rsidR="00A719BC" w:rsidRPr="0092607F">
        <w:rPr>
          <w:rFonts w:ascii="Garamond" w:hAnsi="Garamond"/>
          <w:i/>
          <w:lang w:val="en-US"/>
        </w:rPr>
        <w:t>Swedish International Development Agency</w:t>
      </w:r>
      <w:r w:rsidR="00A719BC" w:rsidRPr="006A5AC6">
        <w:rPr>
          <w:rFonts w:ascii="Garamond" w:hAnsi="Garamond"/>
          <w:lang w:val="en-US"/>
        </w:rPr>
        <w:t xml:space="preserve"> (</w:t>
      </w:r>
      <w:proofErr w:type="spellStart"/>
      <w:r w:rsidR="00A719BC" w:rsidRPr="006A5AC6">
        <w:rPr>
          <w:rFonts w:ascii="Garamond" w:hAnsi="Garamond"/>
          <w:lang w:val="en-US"/>
        </w:rPr>
        <w:t>Sida</w:t>
      </w:r>
      <w:proofErr w:type="spellEnd"/>
      <w:r w:rsidR="00A719BC" w:rsidRPr="006A5AC6">
        <w:rPr>
          <w:rFonts w:ascii="Garamond" w:hAnsi="Garamond"/>
          <w:lang w:val="en-US"/>
        </w:rPr>
        <w:t>) to ensure a measure of flexibilit</w:t>
      </w:r>
      <w:r w:rsidR="00A719BC">
        <w:rPr>
          <w:rFonts w:ascii="Garamond" w:hAnsi="Garamond"/>
          <w:lang w:val="en-US"/>
        </w:rPr>
        <w:t xml:space="preserve">y for selected partners). </w:t>
      </w:r>
    </w:p>
    <w:p w:rsidR="00A719BC" w:rsidRDefault="00A719BC" w:rsidP="002410C5">
      <w:pPr>
        <w:pStyle w:val="Brdtext1"/>
        <w:spacing w:line="240" w:lineRule="auto"/>
        <w:rPr>
          <w:rFonts w:ascii="Garamond" w:hAnsi="Garamond"/>
          <w:lang w:val="en-US"/>
        </w:rPr>
      </w:pPr>
    </w:p>
    <w:p w:rsidR="00A719BC" w:rsidRDefault="00197D68" w:rsidP="002410C5">
      <w:pPr>
        <w:pStyle w:val="Brdtext1"/>
        <w:spacing w:line="240" w:lineRule="auto"/>
        <w:rPr>
          <w:rFonts w:ascii="Garamond" w:hAnsi="Garamond"/>
          <w:lang w:val="en-US"/>
        </w:rPr>
      </w:pPr>
      <w:r w:rsidRPr="00C61B5F">
        <w:rPr>
          <w:rFonts w:ascii="Garamond" w:hAnsi="Garamond"/>
          <w:lang w:val="en-US"/>
        </w:rPr>
        <w:t xml:space="preserve">The </w:t>
      </w:r>
      <w:r w:rsidR="00601342" w:rsidRPr="00C61B5F">
        <w:rPr>
          <w:rFonts w:ascii="Garamond" w:hAnsi="Garamond"/>
          <w:lang w:val="en-US"/>
        </w:rPr>
        <w:t>outcome</w:t>
      </w:r>
      <w:r w:rsidRPr="00C61B5F">
        <w:rPr>
          <w:rFonts w:ascii="Garamond" w:hAnsi="Garamond"/>
          <w:lang w:val="en-US"/>
        </w:rPr>
        <w:t xml:space="preserve"> </w:t>
      </w:r>
      <w:r w:rsidR="00BD7344" w:rsidRPr="00C61B5F">
        <w:rPr>
          <w:rFonts w:ascii="Garamond" w:hAnsi="Garamond"/>
          <w:lang w:val="en-US"/>
        </w:rPr>
        <w:t>of th</w:t>
      </w:r>
      <w:r w:rsidR="005F346E" w:rsidRPr="00C61B5F">
        <w:rPr>
          <w:rFonts w:ascii="Garamond" w:hAnsi="Garamond"/>
          <w:lang w:val="en-US"/>
        </w:rPr>
        <w:t>e questionnaire</w:t>
      </w:r>
      <w:r w:rsidR="00BD7344" w:rsidRPr="00C61B5F">
        <w:rPr>
          <w:rFonts w:ascii="Garamond" w:hAnsi="Garamond"/>
          <w:lang w:val="en-US"/>
        </w:rPr>
        <w:t xml:space="preserve"> </w:t>
      </w:r>
      <w:r w:rsidR="003C3165">
        <w:rPr>
          <w:rFonts w:ascii="Garamond" w:hAnsi="Garamond"/>
          <w:lang w:val="en-US"/>
        </w:rPr>
        <w:t>(</w:t>
      </w:r>
      <w:r w:rsidR="00BD7344" w:rsidRPr="00C61B5F">
        <w:rPr>
          <w:rFonts w:ascii="Garamond" w:hAnsi="Garamond"/>
          <w:lang w:val="en-US"/>
        </w:rPr>
        <w:t>to donors a</w:t>
      </w:r>
      <w:r w:rsidR="003C3165">
        <w:rPr>
          <w:rFonts w:ascii="Garamond" w:hAnsi="Garamond"/>
          <w:lang w:val="en-US"/>
        </w:rPr>
        <w:t xml:space="preserve">s well as </w:t>
      </w:r>
      <w:r w:rsidR="00BD7344" w:rsidRPr="00C61B5F">
        <w:rPr>
          <w:rFonts w:ascii="Garamond" w:hAnsi="Garamond"/>
          <w:lang w:val="en-US"/>
        </w:rPr>
        <w:t>agencies</w:t>
      </w:r>
      <w:r w:rsidR="003C3165">
        <w:rPr>
          <w:rFonts w:ascii="Garamond" w:hAnsi="Garamond"/>
          <w:lang w:val="en-US"/>
        </w:rPr>
        <w:t>)</w:t>
      </w:r>
      <w:r w:rsidR="00BD7344" w:rsidRPr="00C61B5F">
        <w:rPr>
          <w:rFonts w:ascii="Garamond" w:hAnsi="Garamond"/>
          <w:lang w:val="en-US"/>
        </w:rPr>
        <w:t xml:space="preserve"> </w:t>
      </w:r>
      <w:r w:rsidRPr="00C61B5F">
        <w:rPr>
          <w:rFonts w:ascii="Garamond" w:hAnsi="Garamond"/>
          <w:lang w:val="en-US"/>
        </w:rPr>
        <w:t xml:space="preserve">will be presented </w:t>
      </w:r>
      <w:r w:rsidR="00A719BC">
        <w:rPr>
          <w:rFonts w:ascii="Garamond" w:hAnsi="Garamond"/>
          <w:lang w:val="en-US"/>
        </w:rPr>
        <w:t>on 29 May</w:t>
      </w:r>
      <w:r w:rsidRPr="00C61B5F">
        <w:rPr>
          <w:rFonts w:ascii="Garamond" w:hAnsi="Garamond"/>
          <w:lang w:val="en-US"/>
        </w:rPr>
        <w:t xml:space="preserve"> at a workshop </w:t>
      </w:r>
      <w:r w:rsidR="00A719BC" w:rsidRPr="00C61B5F">
        <w:rPr>
          <w:rFonts w:ascii="Garamond" w:hAnsi="Garamond"/>
          <w:lang w:val="en-US"/>
        </w:rPr>
        <w:t xml:space="preserve">in Geneva </w:t>
      </w:r>
      <w:r w:rsidRPr="00C61B5F">
        <w:rPr>
          <w:rFonts w:ascii="Garamond" w:hAnsi="Garamond"/>
          <w:lang w:val="en-US"/>
        </w:rPr>
        <w:t>with donors and agencies hosted by Sweden and ICRC</w:t>
      </w:r>
      <w:r w:rsidR="00BD7344" w:rsidRPr="00C61B5F">
        <w:rPr>
          <w:rFonts w:ascii="Garamond" w:hAnsi="Garamond"/>
          <w:lang w:val="en-US"/>
        </w:rPr>
        <w:t>.</w:t>
      </w:r>
      <w:r w:rsidR="002410C5" w:rsidRPr="00C61B5F">
        <w:rPr>
          <w:rFonts w:ascii="Garamond" w:hAnsi="Garamond"/>
          <w:lang w:val="en-US"/>
        </w:rPr>
        <w:t xml:space="preserve"> </w:t>
      </w:r>
      <w:r w:rsidR="00C023DA">
        <w:rPr>
          <w:rFonts w:ascii="Garamond" w:hAnsi="Garamond"/>
          <w:lang w:val="en-US"/>
        </w:rPr>
        <w:t xml:space="preserve">Along with </w:t>
      </w:r>
      <w:r w:rsidR="00BD7344" w:rsidRPr="00C61B5F">
        <w:rPr>
          <w:rFonts w:ascii="Garamond" w:hAnsi="Garamond"/>
          <w:lang w:val="en-US"/>
        </w:rPr>
        <w:t xml:space="preserve">Grand Bargain </w:t>
      </w:r>
      <w:r w:rsidR="008E53B5" w:rsidRPr="00C61B5F">
        <w:rPr>
          <w:rFonts w:ascii="Garamond" w:hAnsi="Garamond"/>
          <w:lang w:val="en-US"/>
        </w:rPr>
        <w:t>signatorie</w:t>
      </w:r>
      <w:r w:rsidR="00601342" w:rsidRPr="00C61B5F">
        <w:rPr>
          <w:rFonts w:ascii="Garamond" w:hAnsi="Garamond"/>
          <w:lang w:val="en-US"/>
        </w:rPr>
        <w:t>s</w:t>
      </w:r>
      <w:r w:rsidR="00107D12" w:rsidRPr="00C61B5F">
        <w:rPr>
          <w:rFonts w:ascii="Garamond" w:hAnsi="Garamond"/>
          <w:lang w:val="en-US"/>
        </w:rPr>
        <w:t xml:space="preserve"> </w:t>
      </w:r>
      <w:r w:rsidR="00601342" w:rsidRPr="00C61B5F">
        <w:rPr>
          <w:rFonts w:ascii="Garamond" w:hAnsi="Garamond"/>
          <w:lang w:val="en-US"/>
        </w:rPr>
        <w:t xml:space="preserve">(donors </w:t>
      </w:r>
      <w:r w:rsidR="00107D12" w:rsidRPr="00C61B5F">
        <w:rPr>
          <w:rFonts w:ascii="Garamond" w:hAnsi="Garamond"/>
          <w:lang w:val="en-US"/>
        </w:rPr>
        <w:t>as well as agencies</w:t>
      </w:r>
      <w:r w:rsidR="00601342" w:rsidRPr="00C61B5F">
        <w:rPr>
          <w:rFonts w:ascii="Garamond" w:hAnsi="Garamond"/>
          <w:lang w:val="en-US"/>
        </w:rPr>
        <w:t>)</w:t>
      </w:r>
      <w:r w:rsidR="00107D12" w:rsidRPr="00C61B5F">
        <w:rPr>
          <w:rFonts w:ascii="Garamond" w:hAnsi="Garamond"/>
          <w:lang w:val="en-US"/>
        </w:rPr>
        <w:t xml:space="preserve">, GHD </w:t>
      </w:r>
      <w:r w:rsidR="00A719BC">
        <w:rPr>
          <w:rFonts w:ascii="Garamond" w:hAnsi="Garamond"/>
          <w:lang w:val="en-US"/>
        </w:rPr>
        <w:t xml:space="preserve">earmarking </w:t>
      </w:r>
      <w:r w:rsidR="00C023DA">
        <w:rPr>
          <w:rFonts w:ascii="Garamond" w:hAnsi="Garamond"/>
          <w:lang w:val="en-US"/>
        </w:rPr>
        <w:t>work</w:t>
      </w:r>
      <w:r w:rsidR="00A719BC">
        <w:rPr>
          <w:rFonts w:ascii="Garamond" w:hAnsi="Garamond"/>
          <w:lang w:val="en-US"/>
        </w:rPr>
        <w:t xml:space="preserve"> </w:t>
      </w:r>
      <w:r w:rsidR="00C023DA">
        <w:rPr>
          <w:rFonts w:ascii="Garamond" w:hAnsi="Garamond"/>
          <w:lang w:val="en-US"/>
        </w:rPr>
        <w:t xml:space="preserve">stream </w:t>
      </w:r>
      <w:r w:rsidR="00107D12" w:rsidRPr="00C61B5F">
        <w:rPr>
          <w:rFonts w:ascii="Garamond" w:hAnsi="Garamond"/>
          <w:lang w:val="en-US"/>
        </w:rPr>
        <w:t>member</w:t>
      </w:r>
      <w:r w:rsidR="00C023DA">
        <w:rPr>
          <w:rFonts w:ascii="Garamond" w:hAnsi="Garamond"/>
          <w:lang w:val="en-US"/>
        </w:rPr>
        <w:t xml:space="preserve">s will be invited to participate. </w:t>
      </w:r>
    </w:p>
    <w:p w:rsidR="00A719BC" w:rsidRDefault="00A719BC" w:rsidP="002410C5">
      <w:pPr>
        <w:pStyle w:val="Brdtext1"/>
        <w:spacing w:line="240" w:lineRule="auto"/>
        <w:rPr>
          <w:rFonts w:ascii="Garamond" w:hAnsi="Garamond"/>
          <w:lang w:val="en-US"/>
        </w:rPr>
      </w:pPr>
    </w:p>
    <w:p w:rsidR="00BD7344" w:rsidRDefault="00C023DA" w:rsidP="002410C5">
      <w:pPr>
        <w:pStyle w:val="Brdtext1"/>
        <w:spacing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In addition</w:t>
      </w:r>
      <w:r w:rsidR="00E72D2A">
        <w:rPr>
          <w:rFonts w:ascii="Garamond" w:hAnsi="Garamond"/>
          <w:lang w:val="en-US"/>
        </w:rPr>
        <w:t xml:space="preserve"> to providing input on how to </w:t>
      </w:r>
      <w:r w:rsidR="00E72D2A" w:rsidRPr="006A5AC6">
        <w:rPr>
          <w:rFonts w:ascii="Garamond" w:hAnsi="Garamond"/>
          <w:lang w:val="en-US"/>
        </w:rPr>
        <w:t>move forward on the Grand Bargain commitments on flexible financing</w:t>
      </w:r>
      <w:r>
        <w:rPr>
          <w:rFonts w:ascii="Garamond" w:hAnsi="Garamond"/>
          <w:lang w:val="en-US"/>
        </w:rPr>
        <w:t>, t</w:t>
      </w:r>
      <w:r w:rsidR="00107D12" w:rsidRPr="00C61B5F">
        <w:rPr>
          <w:rFonts w:ascii="Garamond" w:hAnsi="Garamond"/>
          <w:lang w:val="en-US"/>
        </w:rPr>
        <w:t xml:space="preserve">he </w:t>
      </w:r>
      <w:r w:rsidR="00E72D2A">
        <w:rPr>
          <w:rFonts w:ascii="Garamond" w:hAnsi="Garamond"/>
          <w:lang w:val="en-US"/>
        </w:rPr>
        <w:t xml:space="preserve">intention is that the </w:t>
      </w:r>
      <w:r w:rsidR="00A719BC">
        <w:rPr>
          <w:rFonts w:ascii="Garamond" w:hAnsi="Garamond"/>
          <w:lang w:val="en-US"/>
        </w:rPr>
        <w:t>findings</w:t>
      </w:r>
      <w:r w:rsidR="008E53B5" w:rsidRPr="00C61B5F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will serve as input to the discussion amongst all GHD members</w:t>
      </w:r>
      <w:r w:rsidR="00BD7344">
        <w:rPr>
          <w:rFonts w:ascii="Garamond" w:hAnsi="Garamond"/>
          <w:lang w:val="en-US"/>
        </w:rPr>
        <w:t xml:space="preserve"> </w:t>
      </w:r>
      <w:r w:rsidR="0092607F">
        <w:rPr>
          <w:rFonts w:ascii="Garamond" w:hAnsi="Garamond"/>
          <w:lang w:val="en-US"/>
        </w:rPr>
        <w:t xml:space="preserve">at the </w:t>
      </w:r>
      <w:r w:rsidR="00BD7344">
        <w:rPr>
          <w:rFonts w:ascii="Garamond" w:hAnsi="Garamond"/>
          <w:lang w:val="en-US"/>
        </w:rPr>
        <w:t xml:space="preserve">GHD High level meeting </w:t>
      </w:r>
      <w:r w:rsidR="00A719BC">
        <w:rPr>
          <w:rFonts w:ascii="Garamond" w:hAnsi="Garamond"/>
          <w:lang w:val="en-US"/>
        </w:rPr>
        <w:t xml:space="preserve">on 19 </w:t>
      </w:r>
      <w:r w:rsidR="00BD7344">
        <w:rPr>
          <w:rFonts w:ascii="Garamond" w:hAnsi="Garamond"/>
          <w:lang w:val="en-US"/>
        </w:rPr>
        <w:t>June 2017</w:t>
      </w:r>
      <w:r w:rsidR="00E72D2A">
        <w:rPr>
          <w:rFonts w:ascii="Garamond" w:hAnsi="Garamond"/>
          <w:lang w:val="en-US"/>
        </w:rPr>
        <w:t xml:space="preserve">. </w:t>
      </w:r>
      <w:r w:rsidR="00A719BC">
        <w:rPr>
          <w:rFonts w:ascii="Garamond" w:hAnsi="Garamond"/>
          <w:lang w:val="en-US"/>
        </w:rPr>
        <w:t xml:space="preserve">The findings will </w:t>
      </w:r>
      <w:r w:rsidR="0092607F">
        <w:rPr>
          <w:rFonts w:ascii="Garamond" w:hAnsi="Garamond"/>
          <w:lang w:val="en-US"/>
        </w:rPr>
        <w:t xml:space="preserve">also </w:t>
      </w:r>
      <w:r w:rsidR="00A719BC">
        <w:rPr>
          <w:rFonts w:ascii="Garamond" w:hAnsi="Garamond"/>
          <w:lang w:val="en-US"/>
        </w:rPr>
        <w:t>provide a basis for a discussion within the</w:t>
      </w:r>
      <w:r w:rsidR="0092607F">
        <w:rPr>
          <w:rFonts w:ascii="Garamond" w:hAnsi="Garamond"/>
          <w:lang w:val="en-US"/>
        </w:rPr>
        <w:t xml:space="preserve"> GHD</w:t>
      </w:r>
      <w:r w:rsidR="00A719BC">
        <w:rPr>
          <w:rFonts w:ascii="Garamond" w:hAnsi="Garamond"/>
          <w:lang w:val="en-US"/>
        </w:rPr>
        <w:t xml:space="preserve"> work stream </w:t>
      </w:r>
      <w:r w:rsidR="0092607F" w:rsidRPr="006A5AC6">
        <w:rPr>
          <w:rFonts w:ascii="Garamond" w:hAnsi="Garamond"/>
          <w:lang w:val="en-US"/>
        </w:rPr>
        <w:t xml:space="preserve">on how to concretely move forward </w:t>
      </w:r>
      <w:r w:rsidR="00A719BC">
        <w:rPr>
          <w:rFonts w:ascii="Garamond" w:hAnsi="Garamond"/>
          <w:lang w:val="en-US"/>
        </w:rPr>
        <w:t>within the work stream from</w:t>
      </w:r>
      <w:r w:rsidR="008E53B5">
        <w:rPr>
          <w:rFonts w:ascii="Garamond" w:hAnsi="Garamond"/>
          <w:lang w:val="en-US"/>
        </w:rPr>
        <w:t xml:space="preserve"> autumn of 2017</w:t>
      </w:r>
      <w:r w:rsidR="00A719BC">
        <w:rPr>
          <w:rFonts w:ascii="Garamond" w:hAnsi="Garamond"/>
          <w:lang w:val="en-US"/>
        </w:rPr>
        <w:t xml:space="preserve"> until summer 2018. </w:t>
      </w:r>
    </w:p>
    <w:p w:rsidR="00C92CDA" w:rsidRDefault="00C92CDA" w:rsidP="002410C5">
      <w:pPr>
        <w:pStyle w:val="Brdtext1"/>
        <w:spacing w:line="240" w:lineRule="auto"/>
        <w:rPr>
          <w:rFonts w:ascii="Garamond" w:hAnsi="Garamond"/>
          <w:lang w:val="en-US"/>
        </w:rPr>
      </w:pPr>
    </w:p>
    <w:sectPr w:rsidR="00C92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29" w:right="1797" w:bottom="1418" w:left="2835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EA" w:rsidRDefault="00D061EA">
      <w:r>
        <w:separator/>
      </w:r>
    </w:p>
  </w:endnote>
  <w:endnote w:type="continuationSeparator" w:id="0">
    <w:p w:rsidR="00D061EA" w:rsidRDefault="00D061EA">
      <w:r>
        <w:continuationSeparator/>
      </w:r>
    </w:p>
  </w:endnote>
  <w:endnote w:id="1">
    <w:p w:rsidR="004C6F97" w:rsidRPr="004C6F97" w:rsidRDefault="004C6F97" w:rsidP="004C6F97">
      <w:pPr>
        <w:pStyle w:val="Brdtext1"/>
        <w:spacing w:line="240" w:lineRule="auto"/>
        <w:rPr>
          <w:rFonts w:ascii="Garamond" w:hAnsi="Garamond"/>
          <w:sz w:val="20"/>
          <w:szCs w:val="20"/>
          <w:lang w:val="en-US"/>
        </w:rPr>
      </w:pPr>
      <w:r>
        <w:rPr>
          <w:rStyle w:val="EndnoteReference"/>
        </w:rPr>
        <w:endnoteRef/>
      </w:r>
      <w:r w:rsidRPr="004C6F97">
        <w:rPr>
          <w:lang w:val="en-US"/>
        </w:rPr>
        <w:t xml:space="preserve"> </w:t>
      </w:r>
      <w:r w:rsidRPr="004C6F97">
        <w:rPr>
          <w:rFonts w:ascii="Garamond" w:hAnsi="Garamond"/>
          <w:sz w:val="20"/>
          <w:szCs w:val="20"/>
          <w:lang w:val="en-US"/>
        </w:rPr>
        <w:t>§12: “</w:t>
      </w:r>
      <w:proofErr w:type="spellStart"/>
      <w:r w:rsidRPr="004C6F97">
        <w:rPr>
          <w:rFonts w:ascii="Garamond" w:hAnsi="Garamond"/>
          <w:sz w:val="20"/>
          <w:szCs w:val="20"/>
          <w:lang w:val="en-US"/>
        </w:rPr>
        <w:t>Recognising</w:t>
      </w:r>
      <w:proofErr w:type="spellEnd"/>
      <w:r w:rsidRPr="004C6F97">
        <w:rPr>
          <w:rFonts w:ascii="Garamond" w:hAnsi="Garamond"/>
          <w:sz w:val="20"/>
          <w:szCs w:val="20"/>
          <w:lang w:val="en-US"/>
        </w:rPr>
        <w:t xml:space="preserve"> the necessity of dynamic and flexible response to changing needs in humanitarian crises, strive to ensure predictability and flexibility in funding to United Nations agencies, funds and </w:t>
      </w:r>
      <w:proofErr w:type="spellStart"/>
      <w:r w:rsidRPr="004C6F97">
        <w:rPr>
          <w:rFonts w:ascii="Garamond" w:hAnsi="Garamond"/>
          <w:sz w:val="20"/>
          <w:szCs w:val="20"/>
          <w:lang w:val="en-US"/>
        </w:rPr>
        <w:t>programmes</w:t>
      </w:r>
      <w:proofErr w:type="spellEnd"/>
      <w:r w:rsidRPr="004C6F97">
        <w:rPr>
          <w:rFonts w:ascii="Garamond" w:hAnsi="Garamond"/>
          <w:sz w:val="20"/>
          <w:szCs w:val="20"/>
          <w:lang w:val="en-US"/>
        </w:rPr>
        <w:t xml:space="preserve"> and to other key humanitarian </w:t>
      </w:r>
      <w:proofErr w:type="spellStart"/>
      <w:r w:rsidRPr="004C6F97">
        <w:rPr>
          <w:rFonts w:ascii="Garamond" w:hAnsi="Garamond"/>
          <w:sz w:val="20"/>
          <w:szCs w:val="20"/>
          <w:lang w:val="en-US"/>
        </w:rPr>
        <w:t>organisations</w:t>
      </w:r>
      <w:proofErr w:type="spellEnd"/>
      <w:r w:rsidRPr="004C6F97">
        <w:rPr>
          <w:rFonts w:ascii="Garamond" w:hAnsi="Garamond"/>
          <w:sz w:val="20"/>
          <w:szCs w:val="20"/>
          <w:lang w:val="en-US"/>
        </w:rPr>
        <w:t>.”</w:t>
      </w:r>
    </w:p>
    <w:p w:rsidR="004C6F97" w:rsidRPr="004C6F97" w:rsidRDefault="004C6F97" w:rsidP="004C6F97">
      <w:pPr>
        <w:pStyle w:val="Brdtext1"/>
        <w:spacing w:line="240" w:lineRule="auto"/>
        <w:rPr>
          <w:rFonts w:ascii="Garamond" w:hAnsi="Garamond"/>
          <w:sz w:val="20"/>
          <w:szCs w:val="20"/>
          <w:lang w:val="en-US"/>
        </w:rPr>
      </w:pPr>
    </w:p>
    <w:p w:rsidR="004C6F97" w:rsidRPr="004C6F97" w:rsidRDefault="004C6F97" w:rsidP="004C6F97">
      <w:pPr>
        <w:pStyle w:val="Brdtext1"/>
        <w:spacing w:line="240" w:lineRule="auto"/>
        <w:rPr>
          <w:rFonts w:ascii="Garamond" w:hAnsi="Garamond"/>
          <w:sz w:val="20"/>
          <w:szCs w:val="20"/>
          <w:lang w:val="en-US"/>
        </w:rPr>
      </w:pPr>
      <w:r w:rsidRPr="004C6F97">
        <w:rPr>
          <w:rFonts w:ascii="Garamond" w:hAnsi="Garamond"/>
          <w:sz w:val="20"/>
          <w:szCs w:val="20"/>
          <w:lang w:val="en-US"/>
        </w:rPr>
        <w:t xml:space="preserve">§13 “While stressing the importance of transparent and strategic priority-setting and financial planning by implementing, explore the possibility of reducing, or enhancing the flexibility of, earmarking, and of introducing longer-term funding arrangements.” </w:t>
      </w:r>
    </w:p>
    <w:p w:rsidR="004C6F97" w:rsidRPr="004C6F97" w:rsidRDefault="004C6F97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Bold">
    <w:altName w:val="Courier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6D" w:rsidRDefault="00522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11" w:rsidRDefault="00081211">
    <w:pPr>
      <w:pStyle w:val="Footer"/>
      <w:spacing w:line="160" w:lineRule="exact"/>
      <w:rPr>
        <w:rFonts w:ascii="TradeGothic" w:hAnsi="TradeGothic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1"/>
      <w:gridCol w:w="1928"/>
      <w:gridCol w:w="3572"/>
    </w:tblGrid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Pr="00940B37" w:rsidRDefault="00081211">
          <w:pPr>
            <w:pStyle w:val="Footer"/>
            <w:rPr>
              <w:rFonts w:ascii="Arial" w:hAnsi="Arial" w:cs="Arial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081211">
      <w:tc>
        <w:tcPr>
          <w:tcW w:w="1871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81211" w:rsidRPr="00940B37" w:rsidRDefault="00940B37">
          <w:pPr>
            <w:pStyle w:val="Footer"/>
            <w:spacing w:before="40"/>
            <w:rPr>
              <w:rFonts w:ascii="TradeGothic" w:hAnsi="TradeGothic"/>
              <w:i/>
              <w:sz w:val="12"/>
            </w:rPr>
          </w:pPr>
          <w:r w:rsidRPr="00940B37">
            <w:rPr>
              <w:rFonts w:ascii="TradeGothic" w:hAnsi="TradeGothic"/>
              <w:i/>
              <w:sz w:val="12"/>
            </w:rPr>
            <w:t>Postadress:</w:t>
          </w:r>
        </w:p>
      </w:tc>
      <w:tc>
        <w:tcPr>
          <w:tcW w:w="192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81211" w:rsidRPr="00940B37" w:rsidRDefault="00940B37">
          <w:pPr>
            <w:pStyle w:val="Footer"/>
            <w:spacing w:before="40"/>
            <w:rPr>
              <w:rFonts w:ascii="TradeGothic" w:hAnsi="TradeGothic"/>
              <w:i/>
              <w:sz w:val="12"/>
            </w:rPr>
          </w:pPr>
          <w:r w:rsidRPr="00940B37">
            <w:rPr>
              <w:rFonts w:ascii="TradeGothic" w:hAnsi="TradeGothic"/>
              <w:i/>
              <w:sz w:val="12"/>
            </w:rPr>
            <w:t>Telefon:</w:t>
          </w:r>
        </w:p>
      </w:tc>
      <w:tc>
        <w:tcPr>
          <w:tcW w:w="357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81211" w:rsidRPr="00940B37" w:rsidRDefault="00940B37">
          <w:pPr>
            <w:pStyle w:val="Footer"/>
            <w:spacing w:before="40"/>
            <w:rPr>
              <w:rFonts w:ascii="TradeGothic" w:hAnsi="TradeGothic"/>
              <w:i/>
              <w:sz w:val="12"/>
            </w:rPr>
          </w:pPr>
          <w:r w:rsidRPr="00940B37">
            <w:rPr>
              <w:rFonts w:ascii="TradeGothic" w:hAnsi="TradeGothic"/>
              <w:i/>
              <w:sz w:val="12"/>
            </w:rPr>
            <w:t>E-post:registrator@regeringskansliet.se</w:t>
          </w:r>
        </w:p>
      </w:tc>
    </w:tr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Default="00940B37">
          <w:pPr>
            <w:pStyle w:val="Footer"/>
            <w:rPr>
              <w:rFonts w:ascii="TradeGothic" w:hAnsi="TradeGothic"/>
              <w:sz w:val="12"/>
            </w:rPr>
          </w:pPr>
          <w:r>
            <w:rPr>
              <w:rFonts w:ascii="TradeGothic" w:hAnsi="TradeGothic"/>
              <w:sz w:val="12"/>
            </w:rPr>
            <w:t>Case Postal 190, 1211 Genève 20, Schweiz</w:t>
          </w: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940B37">
          <w:pPr>
            <w:pStyle w:val="Footer"/>
            <w:rPr>
              <w:rFonts w:ascii="TradeGothic" w:hAnsi="TradeGothic"/>
              <w:sz w:val="12"/>
            </w:rPr>
          </w:pPr>
          <w:r>
            <w:rPr>
              <w:rFonts w:ascii="TradeGothic" w:hAnsi="TradeGothic"/>
              <w:sz w:val="12"/>
            </w:rPr>
            <w:t>+41 (0)22 908 08 00</w:t>
          </w: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940B37">
          <w:pPr>
            <w:pStyle w:val="Footer"/>
            <w:rPr>
              <w:rFonts w:ascii="TradeGothic" w:hAnsi="TradeGothic"/>
              <w:sz w:val="12"/>
            </w:rPr>
          </w:pPr>
          <w:r>
            <w:rPr>
              <w:rFonts w:ascii="TradeGothic" w:hAnsi="TradeGothic"/>
              <w:sz w:val="12"/>
            </w:rPr>
            <w:t>representationen.geneve@gov.se</w:t>
          </w:r>
        </w:p>
      </w:tc>
    </w:tr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940B37">
          <w:pPr>
            <w:pStyle w:val="Footer"/>
            <w:rPr>
              <w:rFonts w:ascii="TradeGothic" w:hAnsi="TradeGothic"/>
              <w:sz w:val="12"/>
            </w:rPr>
          </w:pPr>
          <w:r>
            <w:rPr>
              <w:rFonts w:ascii="TradeGothic" w:hAnsi="TradeGothic"/>
              <w:sz w:val="12"/>
            </w:rPr>
            <w:t>mission.sweden@bluewin.ch</w:t>
          </w:r>
        </w:p>
      </w:tc>
    </w:tr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081211">
      <w:trPr>
        <w:trHeight w:hRule="exact" w:val="80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Pr="00940B37" w:rsidRDefault="00940B37">
          <w:pPr>
            <w:pStyle w:val="Footer"/>
            <w:rPr>
              <w:rFonts w:ascii="TradeGothic" w:hAnsi="TradeGothic"/>
              <w:i/>
              <w:sz w:val="12"/>
            </w:rPr>
          </w:pPr>
          <w:r w:rsidRPr="00940B37">
            <w:rPr>
              <w:rFonts w:ascii="TradeGothic" w:hAnsi="TradeGothic"/>
              <w:i/>
              <w:sz w:val="12"/>
            </w:rPr>
            <w:t>Besöksadress:</w:t>
          </w: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Pr="00940B37" w:rsidRDefault="00940B37">
          <w:pPr>
            <w:pStyle w:val="Footer"/>
            <w:rPr>
              <w:rFonts w:ascii="TradeGothic" w:hAnsi="TradeGothic"/>
              <w:i/>
              <w:sz w:val="12"/>
            </w:rPr>
          </w:pPr>
          <w:r w:rsidRPr="00940B37">
            <w:rPr>
              <w:rFonts w:ascii="TradeGothic" w:hAnsi="TradeGothic"/>
              <w:i/>
              <w:sz w:val="12"/>
            </w:rPr>
            <w:t>Telefax:</w:t>
          </w: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Pr="00940B37" w:rsidRDefault="00081211">
          <w:pPr>
            <w:pStyle w:val="Footer"/>
            <w:rPr>
              <w:rFonts w:ascii="TradeGothic" w:hAnsi="TradeGothic"/>
              <w:i/>
              <w:sz w:val="12"/>
            </w:rPr>
          </w:pPr>
        </w:p>
      </w:tc>
    </w:tr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Default="00940B37">
          <w:pPr>
            <w:pStyle w:val="Footer"/>
            <w:rPr>
              <w:rFonts w:ascii="TradeGothic" w:hAnsi="TradeGothic"/>
              <w:sz w:val="12"/>
            </w:rPr>
          </w:pPr>
          <w:r>
            <w:rPr>
              <w:rFonts w:ascii="TradeGothic" w:hAnsi="TradeGothic"/>
              <w:sz w:val="12"/>
            </w:rPr>
            <w:t>82, rue de Lausanne</w:t>
          </w: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940B37">
          <w:pPr>
            <w:pStyle w:val="Footer"/>
            <w:rPr>
              <w:rFonts w:ascii="TradeGothic" w:hAnsi="TradeGothic"/>
              <w:sz w:val="12"/>
            </w:rPr>
          </w:pPr>
          <w:r>
            <w:rPr>
              <w:rFonts w:ascii="TradeGothic" w:hAnsi="TradeGothic"/>
              <w:sz w:val="12"/>
            </w:rPr>
            <w:t>+41 (0)22 908 08 10</w:t>
          </w: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081211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081211" w:rsidRDefault="00081211">
          <w:pPr>
            <w:pStyle w:val="Footer"/>
            <w:rPr>
              <w:rFonts w:ascii="TradeGothic" w:hAnsi="TradeGothic"/>
              <w:sz w:val="12"/>
            </w:rPr>
          </w:pPr>
        </w:p>
      </w:tc>
    </w:tr>
  </w:tbl>
  <w:p w:rsidR="00081211" w:rsidRDefault="00081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EA" w:rsidRDefault="00D061EA">
      <w:r>
        <w:separator/>
      </w:r>
    </w:p>
  </w:footnote>
  <w:footnote w:type="continuationSeparator" w:id="0">
    <w:p w:rsidR="00D061EA" w:rsidRDefault="00D0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6D" w:rsidRDefault="00522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11" w:rsidRDefault="00940B3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bookmarkStart w:id="20" w:name="UDsidan2"/>
    <w:bookmarkEnd w:id="20"/>
    <w:r w:rsidRPr="00940B37">
      <w:rPr>
        <w:rFonts w:ascii="Arial" w:hAnsi="Arial" w:cs="Arial"/>
        <w:b/>
        <w:sz w:val="16"/>
      </w:rPr>
      <w:t>Sveriges ständiga representation</w:t>
    </w:r>
    <w:r w:rsidR="00081211">
      <w:rPr>
        <w:rFonts w:ascii="Garamond" w:hAnsi="Garamond"/>
      </w:rPr>
      <w:tab/>
    </w:r>
    <w:bookmarkStart w:id="21" w:name="UDsidan2doknamn"/>
    <w:bookmarkEnd w:id="21"/>
    <w:r w:rsidRPr="00940B37">
      <w:rPr>
        <w:rFonts w:ascii="Arial" w:hAnsi="Arial" w:cs="Arial"/>
        <w:b/>
        <w:sz w:val="22"/>
      </w:rPr>
      <w:t xml:space="preserve"> </w:t>
    </w:r>
    <w:r w:rsidR="00081211">
      <w:rPr>
        <w:rFonts w:ascii="Garamond" w:hAnsi="Garamond"/>
        <w:sz w:val="22"/>
      </w:rPr>
      <w:tab/>
    </w:r>
    <w:r w:rsidR="00081211">
      <w:rPr>
        <w:rFonts w:ascii="Garamond" w:hAnsi="Garamond"/>
        <w:sz w:val="22"/>
      </w:rPr>
      <w:tab/>
    </w:r>
    <w:r w:rsidR="00081211">
      <w:rPr>
        <w:rFonts w:ascii="Garamond" w:hAnsi="Garamond"/>
        <w:sz w:val="22"/>
      </w:rPr>
      <w:fldChar w:fldCharType="begin"/>
    </w:r>
    <w:r w:rsidR="00081211">
      <w:rPr>
        <w:rFonts w:ascii="Garamond" w:hAnsi="Garamond"/>
        <w:sz w:val="22"/>
      </w:rPr>
      <w:instrText xml:space="preserve"> PAGE  \* MERGEFORMAT </w:instrText>
    </w:r>
    <w:r w:rsidR="00081211">
      <w:rPr>
        <w:rFonts w:ascii="Garamond" w:hAnsi="Garamond"/>
        <w:sz w:val="22"/>
      </w:rPr>
      <w:fldChar w:fldCharType="separate"/>
    </w:r>
    <w:r w:rsidR="00D47EC7">
      <w:rPr>
        <w:rFonts w:ascii="Garamond" w:hAnsi="Garamond"/>
        <w:noProof/>
        <w:sz w:val="22"/>
      </w:rPr>
      <w:t>2</w:t>
    </w:r>
    <w:r w:rsidR="00081211">
      <w:rPr>
        <w:rFonts w:ascii="Garamond" w:hAnsi="Garamond"/>
        <w:sz w:val="22"/>
      </w:rPr>
      <w:fldChar w:fldCharType="end"/>
    </w:r>
    <w:r w:rsidR="00081211">
      <w:rPr>
        <w:rFonts w:ascii="Garamond" w:hAnsi="Garamond"/>
        <w:sz w:val="22"/>
      </w:rPr>
      <w:t>(</w:t>
    </w:r>
    <w:r w:rsidR="00081211">
      <w:rPr>
        <w:rFonts w:ascii="Garamond" w:hAnsi="Garamond"/>
        <w:sz w:val="22"/>
      </w:rPr>
      <w:fldChar w:fldCharType="begin"/>
    </w:r>
    <w:r w:rsidR="00081211">
      <w:rPr>
        <w:rFonts w:ascii="Garamond" w:hAnsi="Garamond"/>
        <w:sz w:val="22"/>
      </w:rPr>
      <w:instrText xml:space="preserve"> NUMPAGES  \* MERGEFORMAT </w:instrText>
    </w:r>
    <w:r w:rsidR="00081211">
      <w:rPr>
        <w:rFonts w:ascii="Garamond" w:hAnsi="Garamond"/>
        <w:sz w:val="22"/>
      </w:rPr>
      <w:fldChar w:fldCharType="separate"/>
    </w:r>
    <w:r w:rsidR="00D47EC7">
      <w:rPr>
        <w:rFonts w:ascii="Garamond" w:hAnsi="Garamond"/>
        <w:noProof/>
        <w:sz w:val="22"/>
      </w:rPr>
      <w:t>2</w:t>
    </w:r>
    <w:r w:rsidR="00081211">
      <w:rPr>
        <w:rFonts w:ascii="Garamond" w:hAnsi="Garamond"/>
        <w:sz w:val="22"/>
      </w:rPr>
      <w:fldChar w:fldCharType="end"/>
    </w:r>
    <w:r w:rsidR="00081211">
      <w:rPr>
        <w:rFonts w:ascii="Garamond" w:hAnsi="Garamond"/>
        <w:sz w:val="22"/>
      </w:rPr>
      <w:t>)</w:t>
    </w:r>
  </w:p>
  <w:p w:rsidR="00081211" w:rsidRPr="00940B37" w:rsidRDefault="00940B3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 w:rsidRPr="00940B37">
      <w:rPr>
        <w:rFonts w:ascii="Arial" w:hAnsi="Arial" w:cs="Arial"/>
        <w:b/>
        <w:sz w:val="16"/>
      </w:rPr>
      <w:t>Genève</w:t>
    </w:r>
  </w:p>
  <w:p w:rsidR="00081211" w:rsidRPr="00940B37" w:rsidRDefault="00940B37" w:rsidP="00940B37">
    <w:pPr>
      <w:pStyle w:val="Header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noProof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E1D069" wp14:editId="1C0513B4">
              <wp:simplePos x="0" y="0"/>
              <wp:positionH relativeFrom="page">
                <wp:posOffset>900430</wp:posOffset>
              </wp:positionH>
              <wp:positionV relativeFrom="paragraph">
                <wp:posOffset>221615</wp:posOffset>
              </wp:positionV>
              <wp:extent cx="622871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7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7.45pt" to="561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" o:allowincell="f" strokeweight=".25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 w:rsidR="00081211">
      <w:rPr>
        <w:rFonts w:ascii="Garamond" w:hAnsi="Garamond"/>
        <w:sz w:val="22"/>
      </w:rPr>
      <w:tab/>
    </w:r>
    <w:bookmarkStart w:id="22" w:name="UDsidan2datum"/>
    <w:bookmarkEnd w:id="22"/>
    <w:r w:rsidR="00A719BC">
      <w:rPr>
        <w:rFonts w:ascii="OrigGarmnd BT" w:hAnsi="OrigGarmnd BT"/>
        <w:sz w:val="22"/>
      </w:rPr>
      <w:t>2017</w:t>
    </w:r>
    <w:r w:rsidR="00317C0A">
      <w:rPr>
        <w:rFonts w:ascii="OrigGarmnd BT" w:hAnsi="OrigGarmnd BT"/>
        <w:sz w:val="22"/>
      </w:rPr>
      <w:t>-</w:t>
    </w:r>
    <w:r w:rsidR="00A719BC">
      <w:rPr>
        <w:rFonts w:ascii="OrigGarmnd BT" w:hAnsi="OrigGarmnd BT"/>
        <w:sz w:val="22"/>
      </w:rPr>
      <w:t>05-1</w:t>
    </w:r>
    <w:r w:rsidR="00522E6D">
      <w:rPr>
        <w:rFonts w:ascii="OrigGarmnd BT" w:hAnsi="OrigGarmnd BT"/>
        <w:sz w:val="22"/>
      </w:rPr>
      <w:t>5</w:t>
    </w:r>
    <w:r w:rsidR="00081211" w:rsidRPr="00940B37">
      <w:rPr>
        <w:rFonts w:ascii="OrigGarmnd BT" w:hAnsi="OrigGarmnd BT"/>
        <w:sz w:val="22"/>
      </w:rPr>
      <w:tab/>
    </w:r>
    <w:bookmarkStart w:id="23" w:name="UDsidan2doss"/>
    <w:bookmarkEnd w:id="2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6D" w:rsidRDefault="00522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490"/>
    <w:multiLevelType w:val="hybridMultilevel"/>
    <w:tmpl w:val="EBB62A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B61E2D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1C1E"/>
    <w:multiLevelType w:val="hybridMultilevel"/>
    <w:tmpl w:val="A94075A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31E3F"/>
    <w:multiLevelType w:val="hybridMultilevel"/>
    <w:tmpl w:val="9B7080F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05CE8"/>
    <w:multiLevelType w:val="hybridMultilevel"/>
    <w:tmpl w:val="787243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D3114"/>
    <w:multiLevelType w:val="hybridMultilevel"/>
    <w:tmpl w:val="18362EBA"/>
    <w:lvl w:ilvl="0" w:tplc="77CA1A9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A4527"/>
    <w:multiLevelType w:val="hybridMultilevel"/>
    <w:tmpl w:val="B7C48624"/>
    <w:lvl w:ilvl="0" w:tplc="160AC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E01F0"/>
    <w:multiLevelType w:val="hybridMultilevel"/>
    <w:tmpl w:val="077C8C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2314D"/>
    <w:multiLevelType w:val="hybridMultilevel"/>
    <w:tmpl w:val="1B20048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8B469B6"/>
    <w:multiLevelType w:val="hybridMultilevel"/>
    <w:tmpl w:val="EADE0712"/>
    <w:lvl w:ilvl="0" w:tplc="C2CA71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824B5"/>
    <w:multiLevelType w:val="hybridMultilevel"/>
    <w:tmpl w:val="F3FEE2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7"/>
    <w:rsid w:val="000018E0"/>
    <w:rsid w:val="000078D9"/>
    <w:rsid w:val="00042A65"/>
    <w:rsid w:val="00081211"/>
    <w:rsid w:val="000A6241"/>
    <w:rsid w:val="00107D12"/>
    <w:rsid w:val="00191A6D"/>
    <w:rsid w:val="0019704B"/>
    <w:rsid w:val="00197D68"/>
    <w:rsid w:val="001B5D2F"/>
    <w:rsid w:val="00237B56"/>
    <w:rsid w:val="002410C5"/>
    <w:rsid w:val="00296D41"/>
    <w:rsid w:val="002A68FC"/>
    <w:rsid w:val="002D6E88"/>
    <w:rsid w:val="00304BFA"/>
    <w:rsid w:val="00317C0A"/>
    <w:rsid w:val="003269F0"/>
    <w:rsid w:val="003B6ABE"/>
    <w:rsid w:val="003C3165"/>
    <w:rsid w:val="003D0AA5"/>
    <w:rsid w:val="004C6F97"/>
    <w:rsid w:val="00522E6D"/>
    <w:rsid w:val="0054538F"/>
    <w:rsid w:val="00546991"/>
    <w:rsid w:val="00591811"/>
    <w:rsid w:val="005F346E"/>
    <w:rsid w:val="00601342"/>
    <w:rsid w:val="0068176F"/>
    <w:rsid w:val="006A5AC6"/>
    <w:rsid w:val="00740E59"/>
    <w:rsid w:val="0077146D"/>
    <w:rsid w:val="00830CFD"/>
    <w:rsid w:val="008C65F3"/>
    <w:rsid w:val="008E53B5"/>
    <w:rsid w:val="00900ED3"/>
    <w:rsid w:val="00903F2D"/>
    <w:rsid w:val="0092607F"/>
    <w:rsid w:val="00937FA9"/>
    <w:rsid w:val="00940B37"/>
    <w:rsid w:val="009D78F1"/>
    <w:rsid w:val="009F7EF4"/>
    <w:rsid w:val="00A11A3F"/>
    <w:rsid w:val="00A719BC"/>
    <w:rsid w:val="00AB71D7"/>
    <w:rsid w:val="00BA4908"/>
    <w:rsid w:val="00BD7344"/>
    <w:rsid w:val="00BE363D"/>
    <w:rsid w:val="00C023DA"/>
    <w:rsid w:val="00C51807"/>
    <w:rsid w:val="00C61B5F"/>
    <w:rsid w:val="00C92CDA"/>
    <w:rsid w:val="00D061EA"/>
    <w:rsid w:val="00D36AE0"/>
    <w:rsid w:val="00D47EC7"/>
    <w:rsid w:val="00D940D8"/>
    <w:rsid w:val="00E1510A"/>
    <w:rsid w:val="00E72D2A"/>
    <w:rsid w:val="00ED0C5A"/>
    <w:rsid w:val="00F00085"/>
    <w:rsid w:val="00F56E4B"/>
    <w:rsid w:val="00F711D3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</w:rPr>
  </w:style>
  <w:style w:type="paragraph" w:styleId="BalloonText">
    <w:name w:val="Balloon Text"/>
    <w:basedOn w:val="Normal"/>
    <w:link w:val="BalloonTextChar"/>
    <w:rsid w:val="00940B37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sid w:val="00940B3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D0AA5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4C6F97"/>
  </w:style>
  <w:style w:type="character" w:customStyle="1" w:styleId="EndnoteTextChar">
    <w:name w:val="Endnote Text Char"/>
    <w:basedOn w:val="DefaultParagraphFont"/>
    <w:link w:val="EndnoteText"/>
    <w:rsid w:val="004C6F97"/>
    <w:rPr>
      <w:lang w:eastAsia="zh-CN"/>
    </w:rPr>
  </w:style>
  <w:style w:type="character" w:styleId="EndnoteReference">
    <w:name w:val="endnote reference"/>
    <w:basedOn w:val="DefaultParagraphFont"/>
    <w:rsid w:val="004C6F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</w:rPr>
  </w:style>
  <w:style w:type="paragraph" w:styleId="BalloonText">
    <w:name w:val="Balloon Text"/>
    <w:basedOn w:val="Normal"/>
    <w:link w:val="BalloonTextChar"/>
    <w:rsid w:val="00940B37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sid w:val="00940B3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D0AA5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4C6F97"/>
  </w:style>
  <w:style w:type="character" w:customStyle="1" w:styleId="EndnoteTextChar">
    <w:name w:val="Endnote Text Char"/>
    <w:basedOn w:val="DefaultParagraphFont"/>
    <w:link w:val="EndnoteText"/>
    <w:rsid w:val="004C6F97"/>
    <w:rPr>
      <w:lang w:eastAsia="zh-CN"/>
    </w:rPr>
  </w:style>
  <w:style w:type="character" w:styleId="EndnoteReference">
    <w:name w:val="endnote reference"/>
    <w:basedOn w:val="DefaultParagraphFont"/>
    <w:rsid w:val="004C6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F4A6-AC9C-41FF-B6FF-6C097EC3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um_2</Template>
  <TotalTime>1</TotalTime>
  <Pages>2</Pages>
  <Words>640</Words>
  <Characters>3384</Characters>
  <Application>Microsoft Office Word</Application>
  <DocSecurity>0</DocSecurity>
  <Lines>87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Nilsson</dc:creator>
  <cp:lastModifiedBy>Chadwick, Georgina</cp:lastModifiedBy>
  <cp:revision>2</cp:revision>
  <cp:lastPrinted>2016-12-15T13:31:00Z</cp:lastPrinted>
  <dcterms:created xsi:type="dcterms:W3CDTF">2017-06-15T13:19:00Z</dcterms:created>
  <dcterms:modified xsi:type="dcterms:W3CDTF">2017-06-15T13:19:00Z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4ce84f68-0a80-48fb-8173-fbb449cb229b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